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09"/>
        <w:gridCol w:w="1530"/>
        <w:gridCol w:w="3924"/>
      </w:tblGrid>
      <w:tr w:rsidR="001C6D25" w:rsidRPr="001C6D25" w:rsidTr="001D67C9">
        <w:tc>
          <w:tcPr>
            <w:tcW w:w="4009" w:type="dxa"/>
          </w:tcPr>
          <w:p w:rsidR="001C6D25" w:rsidRPr="001C6D25" w:rsidRDefault="001C6D25" w:rsidP="001C6D25">
            <w:pPr>
              <w:spacing w:line="280" w:lineRule="exact"/>
              <w:jc w:val="center"/>
              <w:rPr>
                <w:b/>
                <w:sz w:val="26"/>
                <w:szCs w:val="26"/>
              </w:rPr>
            </w:pPr>
            <w:r w:rsidRPr="001C6D25">
              <w:rPr>
                <w:b/>
                <w:sz w:val="26"/>
                <w:szCs w:val="26"/>
              </w:rPr>
              <w:t>М</w:t>
            </w:r>
            <w:r w:rsidRPr="001C6D25">
              <w:rPr>
                <w:b/>
                <w:sz w:val="26"/>
                <w:szCs w:val="26"/>
                <w:lang w:val="en-US"/>
              </w:rPr>
              <w:t>I</w:t>
            </w:r>
            <w:r w:rsidRPr="001C6D25">
              <w:rPr>
                <w:b/>
                <w:sz w:val="26"/>
                <w:szCs w:val="26"/>
              </w:rPr>
              <w:t>Н</w:t>
            </w:r>
            <w:r w:rsidRPr="001C6D25">
              <w:rPr>
                <w:b/>
                <w:sz w:val="26"/>
                <w:szCs w:val="26"/>
                <w:lang w:val="en-US"/>
              </w:rPr>
              <w:t>I</w:t>
            </w:r>
            <w:r w:rsidRPr="001C6D25">
              <w:rPr>
                <w:b/>
                <w:sz w:val="26"/>
                <w:szCs w:val="26"/>
              </w:rPr>
              <w:t>СТЭРСТВА</w:t>
            </w:r>
          </w:p>
          <w:p w:rsidR="001C6D25" w:rsidRPr="001C6D25" w:rsidRDefault="001C6D25" w:rsidP="001C6D25">
            <w:pPr>
              <w:spacing w:line="280" w:lineRule="exact"/>
              <w:jc w:val="center"/>
              <w:rPr>
                <w:b/>
                <w:sz w:val="26"/>
                <w:szCs w:val="26"/>
              </w:rPr>
            </w:pPr>
            <w:r w:rsidRPr="001C6D25">
              <w:rPr>
                <w:b/>
                <w:sz w:val="26"/>
                <w:szCs w:val="26"/>
              </w:rPr>
              <w:t xml:space="preserve">ПА ПАДАТКАХ </w:t>
            </w:r>
            <w:r w:rsidRPr="001C6D25">
              <w:rPr>
                <w:b/>
                <w:sz w:val="26"/>
                <w:szCs w:val="26"/>
                <w:lang w:val="en-US"/>
              </w:rPr>
              <w:t>I</w:t>
            </w:r>
            <w:r w:rsidRPr="001C6D25">
              <w:rPr>
                <w:b/>
                <w:sz w:val="26"/>
                <w:szCs w:val="26"/>
              </w:rPr>
              <w:t xml:space="preserve"> ЗБОРАХ</w:t>
            </w:r>
          </w:p>
          <w:p w:rsidR="001C6D25" w:rsidRPr="001C6D25" w:rsidRDefault="001C6D25" w:rsidP="001C6D25">
            <w:pPr>
              <w:spacing w:line="280" w:lineRule="exact"/>
              <w:jc w:val="center"/>
              <w:rPr>
                <w:b/>
                <w:sz w:val="26"/>
                <w:szCs w:val="26"/>
              </w:rPr>
            </w:pPr>
            <w:r w:rsidRPr="001C6D25">
              <w:rPr>
                <w:b/>
                <w:sz w:val="26"/>
                <w:szCs w:val="26"/>
              </w:rPr>
              <w:t>РЭСПУБЛ</w:t>
            </w:r>
            <w:r w:rsidRPr="001C6D25">
              <w:rPr>
                <w:b/>
                <w:sz w:val="26"/>
                <w:szCs w:val="26"/>
                <w:lang w:val="en-US"/>
              </w:rPr>
              <w:t>I</w:t>
            </w:r>
            <w:r w:rsidRPr="001C6D25">
              <w:rPr>
                <w:b/>
                <w:sz w:val="26"/>
                <w:szCs w:val="26"/>
              </w:rPr>
              <w:t>К</w:t>
            </w:r>
            <w:r w:rsidRPr="001C6D25">
              <w:rPr>
                <w:b/>
                <w:sz w:val="26"/>
                <w:szCs w:val="26"/>
                <w:lang w:val="en-US"/>
              </w:rPr>
              <w:t>I</w:t>
            </w:r>
            <w:r w:rsidRPr="001C6D25">
              <w:rPr>
                <w:b/>
                <w:sz w:val="26"/>
                <w:szCs w:val="26"/>
              </w:rPr>
              <w:t xml:space="preserve"> БЕЛАРУСЬ</w:t>
            </w:r>
          </w:p>
          <w:p w:rsidR="001C6D25" w:rsidRPr="001C6D25" w:rsidRDefault="001C6D25" w:rsidP="001C6D25">
            <w:pPr>
              <w:spacing w:line="360" w:lineRule="auto"/>
              <w:jc w:val="center"/>
              <w:rPr>
                <w:sz w:val="22"/>
                <w:szCs w:val="22"/>
              </w:rPr>
            </w:pPr>
          </w:p>
          <w:p w:rsidR="001C6D25" w:rsidRPr="001C6D25" w:rsidRDefault="001C6D25" w:rsidP="001C6D25">
            <w:pPr>
              <w:jc w:val="center"/>
              <w:rPr>
                <w:sz w:val="18"/>
                <w:szCs w:val="18"/>
              </w:rPr>
            </w:pPr>
            <w:proofErr w:type="spellStart"/>
            <w:r w:rsidRPr="001C6D25">
              <w:rPr>
                <w:sz w:val="18"/>
                <w:szCs w:val="18"/>
              </w:rPr>
              <w:t>вул</w:t>
            </w:r>
            <w:proofErr w:type="spellEnd"/>
            <w:r w:rsidRPr="001C6D25">
              <w:rPr>
                <w:sz w:val="18"/>
                <w:szCs w:val="18"/>
              </w:rPr>
              <w:t xml:space="preserve">. </w:t>
            </w:r>
            <w:proofErr w:type="spellStart"/>
            <w:r w:rsidRPr="001C6D25">
              <w:rPr>
                <w:sz w:val="18"/>
                <w:szCs w:val="18"/>
              </w:rPr>
              <w:t>Савецкая</w:t>
            </w:r>
            <w:proofErr w:type="spellEnd"/>
            <w:r w:rsidRPr="001C6D25">
              <w:rPr>
                <w:sz w:val="18"/>
                <w:szCs w:val="18"/>
              </w:rPr>
              <w:t xml:space="preserve">, 9, </w:t>
            </w:r>
            <w:smartTag w:uri="urn:schemas-microsoft-com:office:smarttags" w:element="metricconverter">
              <w:smartTagPr>
                <w:attr w:name="ProductID" w:val="220010, г"/>
              </w:smartTagPr>
              <w:r w:rsidRPr="001C6D25">
                <w:rPr>
                  <w:sz w:val="18"/>
                  <w:szCs w:val="18"/>
                </w:rPr>
                <w:t>220010, г</w:t>
              </w:r>
            </w:smartTag>
            <w:r w:rsidRPr="001C6D25">
              <w:rPr>
                <w:sz w:val="18"/>
                <w:szCs w:val="18"/>
              </w:rPr>
              <w:t>. М</w:t>
            </w:r>
            <w:proofErr w:type="spellStart"/>
            <w:r w:rsidRPr="001C6D25">
              <w:rPr>
                <w:sz w:val="18"/>
                <w:szCs w:val="18"/>
                <w:lang w:val="en-US"/>
              </w:rPr>
              <w:t>i</w:t>
            </w:r>
            <w:r w:rsidRPr="001C6D25">
              <w:rPr>
                <w:sz w:val="18"/>
                <w:szCs w:val="18"/>
              </w:rPr>
              <w:t>нск</w:t>
            </w:r>
            <w:proofErr w:type="spellEnd"/>
          </w:p>
          <w:p w:rsidR="001C6D25" w:rsidRPr="001C6D25" w:rsidRDefault="001C6D25" w:rsidP="001C6D25">
            <w:pPr>
              <w:jc w:val="center"/>
              <w:rPr>
                <w:sz w:val="18"/>
                <w:szCs w:val="18"/>
              </w:rPr>
            </w:pPr>
            <w:proofErr w:type="spellStart"/>
            <w:r w:rsidRPr="001C6D25">
              <w:rPr>
                <w:sz w:val="18"/>
                <w:szCs w:val="18"/>
                <w:lang w:val="en-US"/>
              </w:rPr>
              <w:t>gnk</w:t>
            </w:r>
            <w:proofErr w:type="spellEnd"/>
            <w:r w:rsidRPr="001C6D25">
              <w:rPr>
                <w:sz w:val="18"/>
                <w:szCs w:val="18"/>
              </w:rPr>
              <w:t>@</w:t>
            </w:r>
            <w:r w:rsidRPr="001C6D25">
              <w:rPr>
                <w:sz w:val="18"/>
                <w:szCs w:val="18"/>
                <w:lang w:val="en-US"/>
              </w:rPr>
              <w:t>mail</w:t>
            </w:r>
            <w:r w:rsidRPr="001C6D25">
              <w:rPr>
                <w:sz w:val="18"/>
                <w:szCs w:val="18"/>
              </w:rPr>
              <w:t>.</w:t>
            </w:r>
            <w:proofErr w:type="spellStart"/>
            <w:r w:rsidRPr="001C6D25">
              <w:rPr>
                <w:sz w:val="18"/>
                <w:szCs w:val="18"/>
                <w:lang w:val="en-US"/>
              </w:rPr>
              <w:t>belpak</w:t>
            </w:r>
            <w:proofErr w:type="spellEnd"/>
            <w:r w:rsidRPr="001C6D25">
              <w:rPr>
                <w:sz w:val="18"/>
                <w:szCs w:val="18"/>
              </w:rPr>
              <w:t>.</w:t>
            </w:r>
            <w:r w:rsidRPr="001C6D25">
              <w:rPr>
                <w:sz w:val="18"/>
                <w:szCs w:val="18"/>
                <w:lang w:val="en-US"/>
              </w:rPr>
              <w:t>by</w:t>
            </w:r>
          </w:p>
          <w:p w:rsidR="001C6D25" w:rsidRPr="001C6D25" w:rsidRDefault="001C6D25" w:rsidP="001C6D25">
            <w:pPr>
              <w:jc w:val="center"/>
              <w:rPr>
                <w:sz w:val="22"/>
                <w:szCs w:val="22"/>
              </w:rPr>
            </w:pPr>
            <w:proofErr w:type="spellStart"/>
            <w:r w:rsidRPr="001C6D25">
              <w:rPr>
                <w:sz w:val="18"/>
                <w:szCs w:val="18"/>
              </w:rPr>
              <w:t>тэл</w:t>
            </w:r>
            <w:proofErr w:type="spellEnd"/>
            <w:r w:rsidRPr="001C6D25">
              <w:rPr>
                <w:sz w:val="18"/>
                <w:szCs w:val="18"/>
              </w:rPr>
              <w:t>. 8 (017) 229 79 12, 229 79 13, факс 222 66 87</w:t>
            </w:r>
          </w:p>
        </w:tc>
        <w:tc>
          <w:tcPr>
            <w:tcW w:w="1530" w:type="dxa"/>
          </w:tcPr>
          <w:p w:rsidR="001C6D25" w:rsidRPr="001C6D25" w:rsidRDefault="001C6D25" w:rsidP="001C6D25">
            <w:pPr>
              <w:ind w:left="-108" w:right="-108"/>
              <w:jc w:val="both"/>
              <w:rPr>
                <w:sz w:val="22"/>
                <w:szCs w:val="22"/>
              </w:rPr>
            </w:pPr>
          </w:p>
        </w:tc>
        <w:tc>
          <w:tcPr>
            <w:tcW w:w="3924" w:type="dxa"/>
          </w:tcPr>
          <w:p w:rsidR="001C6D25" w:rsidRPr="001C6D25" w:rsidRDefault="001C6D25" w:rsidP="001C6D25">
            <w:pPr>
              <w:spacing w:line="280" w:lineRule="exact"/>
              <w:jc w:val="center"/>
              <w:rPr>
                <w:b/>
                <w:sz w:val="26"/>
                <w:szCs w:val="26"/>
              </w:rPr>
            </w:pPr>
            <w:r w:rsidRPr="001C6D25">
              <w:rPr>
                <w:b/>
                <w:sz w:val="26"/>
                <w:szCs w:val="26"/>
              </w:rPr>
              <w:t>МИНИСТЕРСТВО</w:t>
            </w:r>
          </w:p>
          <w:p w:rsidR="001C6D25" w:rsidRPr="001C6D25" w:rsidRDefault="001C6D25" w:rsidP="001C6D25">
            <w:pPr>
              <w:spacing w:line="280" w:lineRule="exact"/>
              <w:jc w:val="center"/>
              <w:rPr>
                <w:b/>
                <w:sz w:val="26"/>
                <w:szCs w:val="26"/>
              </w:rPr>
            </w:pPr>
            <w:r w:rsidRPr="001C6D25">
              <w:rPr>
                <w:b/>
                <w:sz w:val="26"/>
                <w:szCs w:val="26"/>
              </w:rPr>
              <w:t>ПО НАЛОГАМ И СБОРАМ</w:t>
            </w:r>
          </w:p>
          <w:p w:rsidR="001C6D25" w:rsidRPr="001C6D25" w:rsidRDefault="001C6D25" w:rsidP="001C6D25">
            <w:pPr>
              <w:spacing w:line="280" w:lineRule="exact"/>
              <w:jc w:val="center"/>
              <w:rPr>
                <w:sz w:val="26"/>
                <w:szCs w:val="26"/>
              </w:rPr>
            </w:pPr>
            <w:r w:rsidRPr="001C6D25">
              <w:rPr>
                <w:b/>
                <w:sz w:val="26"/>
                <w:szCs w:val="26"/>
              </w:rPr>
              <w:t>РЕСПУБЛИКИ БЕЛАРУСЬ</w:t>
            </w:r>
          </w:p>
          <w:p w:rsidR="001C6D25" w:rsidRPr="001C6D25" w:rsidRDefault="001C6D25" w:rsidP="001C6D25">
            <w:pPr>
              <w:spacing w:line="360" w:lineRule="auto"/>
              <w:jc w:val="center"/>
              <w:rPr>
                <w:sz w:val="22"/>
                <w:szCs w:val="22"/>
              </w:rPr>
            </w:pPr>
          </w:p>
          <w:p w:rsidR="001C6D25" w:rsidRPr="001C6D25" w:rsidRDefault="001C6D25" w:rsidP="001C6D25">
            <w:pPr>
              <w:jc w:val="center"/>
              <w:rPr>
                <w:sz w:val="18"/>
                <w:szCs w:val="18"/>
              </w:rPr>
            </w:pPr>
            <w:r w:rsidRPr="001C6D25">
              <w:rPr>
                <w:sz w:val="18"/>
                <w:szCs w:val="18"/>
              </w:rPr>
              <w:t xml:space="preserve">ул. Советская, 9, </w:t>
            </w:r>
            <w:smartTag w:uri="urn:schemas-microsoft-com:office:smarttags" w:element="metricconverter">
              <w:smartTagPr>
                <w:attr w:name="ProductID" w:val="220010, г"/>
              </w:smartTagPr>
              <w:r w:rsidRPr="001C6D25">
                <w:rPr>
                  <w:sz w:val="18"/>
                  <w:szCs w:val="18"/>
                </w:rPr>
                <w:t>220010, г</w:t>
              </w:r>
            </w:smartTag>
            <w:r w:rsidRPr="001C6D25">
              <w:rPr>
                <w:sz w:val="18"/>
                <w:szCs w:val="18"/>
              </w:rPr>
              <w:t>. Минск</w:t>
            </w:r>
          </w:p>
          <w:p w:rsidR="001C6D25" w:rsidRPr="001C6D25" w:rsidRDefault="001C6D25" w:rsidP="001C6D25">
            <w:pPr>
              <w:jc w:val="center"/>
              <w:rPr>
                <w:sz w:val="18"/>
                <w:szCs w:val="18"/>
              </w:rPr>
            </w:pPr>
            <w:proofErr w:type="spellStart"/>
            <w:r w:rsidRPr="001C6D25">
              <w:rPr>
                <w:sz w:val="18"/>
                <w:szCs w:val="18"/>
                <w:lang w:val="en-US"/>
              </w:rPr>
              <w:t>gnk</w:t>
            </w:r>
            <w:proofErr w:type="spellEnd"/>
            <w:r w:rsidRPr="001C6D25">
              <w:rPr>
                <w:sz w:val="18"/>
                <w:szCs w:val="18"/>
              </w:rPr>
              <w:t>@</w:t>
            </w:r>
            <w:r w:rsidRPr="001C6D25">
              <w:rPr>
                <w:sz w:val="18"/>
                <w:szCs w:val="18"/>
                <w:lang w:val="en-US"/>
              </w:rPr>
              <w:t>mail</w:t>
            </w:r>
            <w:r w:rsidRPr="001C6D25">
              <w:rPr>
                <w:sz w:val="18"/>
                <w:szCs w:val="18"/>
              </w:rPr>
              <w:t>.</w:t>
            </w:r>
            <w:proofErr w:type="spellStart"/>
            <w:r w:rsidRPr="001C6D25">
              <w:rPr>
                <w:sz w:val="18"/>
                <w:szCs w:val="18"/>
                <w:lang w:val="en-US"/>
              </w:rPr>
              <w:t>belpak</w:t>
            </w:r>
            <w:proofErr w:type="spellEnd"/>
            <w:r w:rsidRPr="001C6D25">
              <w:rPr>
                <w:sz w:val="18"/>
                <w:szCs w:val="18"/>
              </w:rPr>
              <w:t>.</w:t>
            </w:r>
            <w:r w:rsidRPr="001C6D25">
              <w:rPr>
                <w:sz w:val="18"/>
                <w:szCs w:val="18"/>
                <w:lang w:val="en-US"/>
              </w:rPr>
              <w:t>by</w:t>
            </w:r>
          </w:p>
          <w:p w:rsidR="001C6D25" w:rsidRPr="001C6D25" w:rsidRDefault="001C6D25" w:rsidP="001C6D25">
            <w:pPr>
              <w:jc w:val="center"/>
              <w:rPr>
                <w:sz w:val="22"/>
                <w:szCs w:val="22"/>
              </w:rPr>
            </w:pPr>
            <w:r w:rsidRPr="001C6D25">
              <w:rPr>
                <w:sz w:val="18"/>
                <w:szCs w:val="18"/>
              </w:rPr>
              <w:t>тел. 8 (017) 229 79 12, 229 79 13, факс 222 66 87</w:t>
            </w:r>
          </w:p>
        </w:tc>
      </w:tr>
    </w:tbl>
    <w:p w:rsidR="001C6D25" w:rsidRPr="001C6D25" w:rsidRDefault="001C6D25" w:rsidP="001C6D25">
      <w:pPr>
        <w:rPr>
          <w:sz w:val="24"/>
          <w:szCs w:val="24"/>
        </w:rPr>
      </w:pPr>
    </w:p>
    <w:p w:rsidR="00805137" w:rsidRPr="00805137" w:rsidRDefault="00805137" w:rsidP="00805137">
      <w:pPr>
        <w:tabs>
          <w:tab w:val="left" w:pos="4500"/>
        </w:tabs>
        <w:jc w:val="both"/>
        <w:rPr>
          <w:sz w:val="30"/>
          <w:szCs w:val="30"/>
          <w:u w:val="single"/>
        </w:rPr>
      </w:pPr>
      <w:r w:rsidRPr="00805137">
        <w:rPr>
          <w:sz w:val="30"/>
          <w:szCs w:val="30"/>
          <w:u w:val="single"/>
        </w:rPr>
        <w:t xml:space="preserve">09.09.2020 </w:t>
      </w:r>
      <w:r w:rsidRPr="00805137">
        <w:rPr>
          <w:sz w:val="30"/>
          <w:szCs w:val="30"/>
        </w:rPr>
        <w:t>№</w:t>
      </w:r>
      <w:r w:rsidRPr="00805137">
        <w:rPr>
          <w:sz w:val="30"/>
          <w:szCs w:val="30"/>
          <w:u w:val="single"/>
        </w:rPr>
        <w:t xml:space="preserve"> 2-1-10/01904    </w:t>
      </w:r>
      <w:r w:rsidRPr="00805137">
        <w:rPr>
          <w:sz w:val="2"/>
          <w:szCs w:val="2"/>
          <w:u w:val="single"/>
        </w:rPr>
        <w:t>.</w:t>
      </w:r>
      <w:r w:rsidRPr="00805137">
        <w:rPr>
          <w:sz w:val="30"/>
          <w:szCs w:val="30"/>
          <w:u w:val="single"/>
        </w:rPr>
        <w:t xml:space="preserve">       </w:t>
      </w:r>
    </w:p>
    <w:p w:rsidR="00805137" w:rsidRPr="00805137" w:rsidRDefault="00805137" w:rsidP="00805137">
      <w:pPr>
        <w:spacing w:line="280" w:lineRule="exact"/>
        <w:ind w:left="4394"/>
        <w:rPr>
          <w:sz w:val="30"/>
          <w:szCs w:val="30"/>
        </w:rPr>
      </w:pPr>
      <w:r w:rsidRPr="00805137">
        <w:rPr>
          <w:sz w:val="30"/>
          <w:szCs w:val="30"/>
        </w:rPr>
        <w:t>Инспекции МНС по областям и                     г. Минску</w:t>
      </w:r>
    </w:p>
    <w:p w:rsidR="00805137" w:rsidRPr="00805137" w:rsidRDefault="00805137" w:rsidP="00805137">
      <w:pPr>
        <w:spacing w:line="360" w:lineRule="auto"/>
        <w:jc w:val="both"/>
        <w:rPr>
          <w:sz w:val="30"/>
          <w:szCs w:val="30"/>
        </w:rPr>
      </w:pPr>
    </w:p>
    <w:p w:rsidR="00805137" w:rsidRPr="00805137" w:rsidRDefault="00805137" w:rsidP="00805137">
      <w:pPr>
        <w:spacing w:line="280" w:lineRule="exact"/>
        <w:jc w:val="both"/>
        <w:rPr>
          <w:sz w:val="30"/>
          <w:szCs w:val="30"/>
        </w:rPr>
      </w:pPr>
      <w:r w:rsidRPr="00805137">
        <w:rPr>
          <w:sz w:val="30"/>
          <w:szCs w:val="30"/>
        </w:rPr>
        <w:t>Об обложении НДС</w:t>
      </w:r>
    </w:p>
    <w:p w:rsidR="00805137" w:rsidRPr="00805137" w:rsidRDefault="00805137" w:rsidP="00805137">
      <w:pPr>
        <w:spacing w:line="280" w:lineRule="exact"/>
        <w:jc w:val="both"/>
        <w:rPr>
          <w:sz w:val="30"/>
          <w:szCs w:val="30"/>
        </w:rPr>
      </w:pPr>
      <w:r w:rsidRPr="00805137">
        <w:rPr>
          <w:sz w:val="30"/>
          <w:szCs w:val="30"/>
        </w:rPr>
        <w:t xml:space="preserve">безвозмездной передачи </w:t>
      </w:r>
    </w:p>
    <w:p w:rsidR="00805137" w:rsidRPr="00805137" w:rsidRDefault="00805137" w:rsidP="00805137">
      <w:pPr>
        <w:spacing w:line="280" w:lineRule="exact"/>
        <w:jc w:val="both"/>
        <w:rPr>
          <w:sz w:val="30"/>
          <w:szCs w:val="30"/>
        </w:rPr>
      </w:pPr>
      <w:r w:rsidRPr="00805137">
        <w:rPr>
          <w:sz w:val="30"/>
          <w:szCs w:val="30"/>
        </w:rPr>
        <w:t>товаров (работ, услуг)</w:t>
      </w:r>
    </w:p>
    <w:p w:rsidR="00805137" w:rsidRPr="00805137" w:rsidRDefault="00805137" w:rsidP="00805137">
      <w:pPr>
        <w:spacing w:line="360" w:lineRule="auto"/>
        <w:jc w:val="both"/>
        <w:rPr>
          <w:sz w:val="30"/>
          <w:szCs w:val="30"/>
        </w:rPr>
      </w:pPr>
    </w:p>
    <w:p w:rsidR="00805137" w:rsidRPr="00805137" w:rsidRDefault="00805137" w:rsidP="00805137">
      <w:pPr>
        <w:ind w:firstLine="709"/>
        <w:jc w:val="both"/>
        <w:rPr>
          <w:sz w:val="30"/>
          <w:szCs w:val="30"/>
        </w:rPr>
      </w:pPr>
      <w:r w:rsidRPr="00805137">
        <w:rPr>
          <w:sz w:val="30"/>
          <w:szCs w:val="30"/>
        </w:rPr>
        <w:t>Министерство по налогам и сборам в связи с поступающими вопросами разъясняет порядок налогообложения НДС отдельных операций по безвозмездной передаче.</w:t>
      </w:r>
    </w:p>
    <w:p w:rsidR="00805137" w:rsidRPr="00805137" w:rsidRDefault="00805137" w:rsidP="00805137">
      <w:pPr>
        <w:autoSpaceDE w:val="0"/>
        <w:autoSpaceDN w:val="0"/>
        <w:adjustRightInd w:val="0"/>
        <w:ind w:firstLine="709"/>
        <w:jc w:val="both"/>
        <w:rPr>
          <w:rFonts w:eastAsia="Calibri"/>
          <w:sz w:val="30"/>
          <w:szCs w:val="30"/>
          <w:lang w:eastAsia="en-US"/>
        </w:rPr>
      </w:pPr>
      <w:r w:rsidRPr="00805137">
        <w:rPr>
          <w:bCs/>
          <w:sz w:val="30"/>
          <w:szCs w:val="30"/>
        </w:rPr>
        <w:t xml:space="preserve">В соответствии с пунктом 12 Указа Президента Республики Беларусь от 31.12.2019 № 503 (далее – Указ № 503) для целей налогообложения не признается реализацией безвозмездная передача имущества (работ, услуг), переданного и принятого </w:t>
      </w:r>
      <w:r w:rsidRPr="00805137">
        <w:rPr>
          <w:bCs/>
          <w:sz w:val="30"/>
          <w:szCs w:val="30"/>
          <w:u w:val="single"/>
        </w:rPr>
        <w:t>в соответствии с законодательством, Республике Беларусь или ее административно-территориальным единицам</w:t>
      </w:r>
      <w:r w:rsidRPr="00805137">
        <w:rPr>
          <w:bCs/>
          <w:sz w:val="30"/>
          <w:szCs w:val="30"/>
        </w:rPr>
        <w:t xml:space="preserve"> в лице государственных органов и иных юридических лиц.</w:t>
      </w:r>
      <w:r w:rsidRPr="00805137">
        <w:rPr>
          <w:rFonts w:eastAsia="Calibri"/>
          <w:sz w:val="30"/>
          <w:szCs w:val="30"/>
          <w:lang w:eastAsia="en-US"/>
        </w:rPr>
        <w:t xml:space="preserve"> </w:t>
      </w:r>
    </w:p>
    <w:p w:rsidR="00805137" w:rsidRPr="00805137" w:rsidRDefault="00805137" w:rsidP="00805137">
      <w:pPr>
        <w:autoSpaceDE w:val="0"/>
        <w:autoSpaceDN w:val="0"/>
        <w:adjustRightInd w:val="0"/>
        <w:ind w:firstLine="709"/>
        <w:jc w:val="both"/>
        <w:rPr>
          <w:bCs/>
          <w:sz w:val="30"/>
          <w:szCs w:val="30"/>
        </w:rPr>
      </w:pPr>
      <w:r w:rsidRPr="00805137">
        <w:rPr>
          <w:rFonts w:eastAsia="Calibri"/>
          <w:sz w:val="30"/>
          <w:szCs w:val="30"/>
          <w:lang w:eastAsia="en-US"/>
        </w:rPr>
        <w:t xml:space="preserve">Применительно к безвозмездной передаче </w:t>
      </w:r>
      <w:r w:rsidRPr="00805137">
        <w:rPr>
          <w:rFonts w:eastAsia="Calibri"/>
          <w:b/>
          <w:sz w:val="30"/>
          <w:szCs w:val="30"/>
          <w:lang w:eastAsia="en-US"/>
        </w:rPr>
        <w:t>имущества</w:t>
      </w:r>
      <w:r w:rsidRPr="00805137">
        <w:rPr>
          <w:rFonts w:eastAsia="Calibri"/>
          <w:sz w:val="30"/>
          <w:szCs w:val="30"/>
          <w:lang w:eastAsia="en-US"/>
        </w:rPr>
        <w:t xml:space="preserve"> указанная норма означает, что передающая сторона не исчисляет НДС, когда соблюден порядок оформления приемки имущества в государственную собственность, который регулируется нормами Указа </w:t>
      </w:r>
      <w:r w:rsidRPr="00805137">
        <w:rPr>
          <w:bCs/>
          <w:sz w:val="30"/>
          <w:szCs w:val="30"/>
        </w:rPr>
        <w:t>Президента Республики Беларусь от 10.05.2019 № 169 (далее – Указ № 169).</w:t>
      </w:r>
    </w:p>
    <w:p w:rsidR="00805137" w:rsidRPr="00805137" w:rsidRDefault="00805137" w:rsidP="00805137">
      <w:pPr>
        <w:autoSpaceDE w:val="0"/>
        <w:autoSpaceDN w:val="0"/>
        <w:adjustRightInd w:val="0"/>
        <w:ind w:firstLine="709"/>
        <w:jc w:val="both"/>
        <w:rPr>
          <w:bCs/>
          <w:sz w:val="30"/>
          <w:szCs w:val="30"/>
        </w:rPr>
      </w:pPr>
    </w:p>
    <w:p w:rsidR="00805137" w:rsidRPr="00805137" w:rsidRDefault="00805137" w:rsidP="00805137">
      <w:pPr>
        <w:autoSpaceDE w:val="0"/>
        <w:autoSpaceDN w:val="0"/>
        <w:adjustRightInd w:val="0"/>
        <w:ind w:firstLine="709"/>
        <w:jc w:val="both"/>
        <w:rPr>
          <w:bCs/>
          <w:sz w:val="30"/>
          <w:szCs w:val="30"/>
        </w:rPr>
      </w:pPr>
      <w:r w:rsidRPr="00805137">
        <w:rPr>
          <w:b/>
          <w:bCs/>
          <w:color w:val="000000"/>
          <w:spacing w:val="1"/>
          <w:sz w:val="27"/>
          <w:shd w:val="clear" w:color="auto" w:fill="FFFFFF"/>
        </w:rPr>
        <w:t>Ситуация 1.</w:t>
      </w:r>
      <w:r w:rsidRPr="00805137">
        <w:rPr>
          <w:bCs/>
          <w:sz w:val="30"/>
          <w:szCs w:val="30"/>
        </w:rPr>
        <w:t xml:space="preserve"> В августе 2020 года организация негосударственной формы собственности передала республиканскому унитарному предприятию транспортное средство, которое числится в бухгалтерском учете организации в качестве основного средства. В соответствии с подпунктом 4.3 пункта 4 Указа № 169 принятие транспортного средства в государственную собственность оформляется решением </w:t>
      </w:r>
      <w:r w:rsidRPr="00805137">
        <w:rPr>
          <w:sz w:val="30"/>
          <w:szCs w:val="30"/>
        </w:rPr>
        <w:t>руководителя</w:t>
      </w:r>
      <w:r w:rsidRPr="00805137">
        <w:rPr>
          <w:sz w:val="26"/>
          <w:szCs w:val="26"/>
          <w:u w:val="single"/>
        </w:rPr>
        <w:t xml:space="preserve"> </w:t>
      </w:r>
      <w:r w:rsidRPr="00805137">
        <w:rPr>
          <w:bCs/>
          <w:sz w:val="30"/>
          <w:szCs w:val="30"/>
        </w:rPr>
        <w:t>республиканского унитарного предприятия.</w:t>
      </w:r>
    </w:p>
    <w:p w:rsidR="00805137" w:rsidRPr="00805137" w:rsidRDefault="00805137" w:rsidP="00805137">
      <w:pPr>
        <w:ind w:firstLine="709"/>
        <w:jc w:val="both"/>
        <w:rPr>
          <w:bCs/>
          <w:sz w:val="30"/>
          <w:szCs w:val="30"/>
        </w:rPr>
      </w:pPr>
      <w:r w:rsidRPr="00805137">
        <w:rPr>
          <w:bCs/>
          <w:sz w:val="30"/>
          <w:szCs w:val="30"/>
        </w:rPr>
        <w:t>У организации безвозмездная передача транспортного средства не будет признаваться реализацией для целей налогообложения на основании пункта 12 Указа № 503,</w:t>
      </w:r>
      <w:r w:rsidRPr="00805137">
        <w:rPr>
          <w:sz w:val="30"/>
          <w:szCs w:val="30"/>
        </w:rPr>
        <w:t xml:space="preserve"> а значит, не будет облагаться НДС</w:t>
      </w:r>
      <w:r w:rsidRPr="00805137">
        <w:rPr>
          <w:bCs/>
          <w:sz w:val="30"/>
          <w:szCs w:val="30"/>
        </w:rPr>
        <w:t>.</w:t>
      </w:r>
    </w:p>
    <w:p w:rsidR="00805137" w:rsidRPr="00805137" w:rsidRDefault="00805137" w:rsidP="00805137">
      <w:pPr>
        <w:autoSpaceDE w:val="0"/>
        <w:autoSpaceDN w:val="0"/>
        <w:adjustRightInd w:val="0"/>
        <w:ind w:firstLine="709"/>
        <w:jc w:val="both"/>
        <w:rPr>
          <w:bCs/>
          <w:sz w:val="30"/>
          <w:szCs w:val="30"/>
        </w:rPr>
      </w:pPr>
    </w:p>
    <w:p w:rsidR="00805137" w:rsidRPr="00805137" w:rsidRDefault="00805137" w:rsidP="00805137">
      <w:pPr>
        <w:autoSpaceDE w:val="0"/>
        <w:autoSpaceDN w:val="0"/>
        <w:adjustRightInd w:val="0"/>
        <w:ind w:firstLine="709"/>
        <w:jc w:val="both"/>
        <w:rPr>
          <w:rFonts w:eastAsia="Calibri"/>
          <w:sz w:val="30"/>
          <w:szCs w:val="30"/>
          <w:lang w:eastAsia="en-US"/>
        </w:rPr>
      </w:pPr>
      <w:r w:rsidRPr="00805137">
        <w:rPr>
          <w:bCs/>
          <w:sz w:val="30"/>
          <w:szCs w:val="30"/>
        </w:rPr>
        <w:t xml:space="preserve">Если принимающей имущество стороной является </w:t>
      </w:r>
      <w:r w:rsidRPr="00805137">
        <w:rPr>
          <w:color w:val="000000"/>
          <w:sz w:val="30"/>
          <w:szCs w:val="30"/>
        </w:rPr>
        <w:t xml:space="preserve">бюджетная организация здравоохранения, образования, культуры, физкультуры и </w:t>
      </w:r>
      <w:r w:rsidRPr="00805137">
        <w:rPr>
          <w:color w:val="000000"/>
          <w:sz w:val="30"/>
          <w:szCs w:val="30"/>
        </w:rPr>
        <w:lastRenderedPageBreak/>
        <w:t xml:space="preserve">спорта, то сторонам при безвозмездной передаче этого имущества </w:t>
      </w:r>
      <w:r w:rsidRPr="00805137">
        <w:rPr>
          <w:b/>
          <w:color w:val="000000"/>
          <w:sz w:val="30"/>
          <w:szCs w:val="30"/>
        </w:rPr>
        <w:t>в целях налогообложения следует руководствоваться специальной нормой</w:t>
      </w:r>
      <w:r w:rsidRPr="00805137">
        <w:rPr>
          <w:color w:val="000000"/>
          <w:sz w:val="30"/>
          <w:szCs w:val="30"/>
        </w:rPr>
        <w:t>, установленной  подпунктом 2.5.5 пункта 2 статьи 115 Налогового кодекса Республики Беларусь (далее - НК).</w:t>
      </w:r>
    </w:p>
    <w:p w:rsidR="00805137" w:rsidRPr="00805137" w:rsidRDefault="00805137" w:rsidP="00805137">
      <w:pPr>
        <w:widowControl w:val="0"/>
        <w:ind w:right="20" w:firstLine="709"/>
        <w:jc w:val="both"/>
        <w:rPr>
          <w:color w:val="000000"/>
          <w:spacing w:val="-1"/>
          <w:sz w:val="26"/>
          <w:szCs w:val="26"/>
          <w:lang w:eastAsia="en-US"/>
        </w:rPr>
      </w:pPr>
      <w:r w:rsidRPr="00805137">
        <w:rPr>
          <w:i/>
          <w:color w:val="000000"/>
          <w:spacing w:val="-1"/>
          <w:sz w:val="26"/>
          <w:szCs w:val="26"/>
          <w:lang w:eastAsia="en-US"/>
        </w:rPr>
        <w:t>Справочно.</w:t>
      </w:r>
      <w:r w:rsidRPr="00805137">
        <w:rPr>
          <w:color w:val="000000"/>
          <w:spacing w:val="-1"/>
          <w:sz w:val="26"/>
          <w:szCs w:val="26"/>
          <w:lang w:eastAsia="en-US"/>
        </w:rPr>
        <w:t xml:space="preserve"> В соответствии с подпунктом 2.5.5 пункта 2 статьи 115 НК объектами налогообложения налогом на добавленную стоимость не признаются безвозмездная передача товаров (работ, услуг), имущественных прав, включая оплату счетов за приобретенные и переданные товары (выполненные работы, оказанные услуги), имущественные права бюджетным организациям здравоохранения, образования, культуры, физкультуры и спорта.</w:t>
      </w:r>
    </w:p>
    <w:p w:rsidR="00805137" w:rsidRPr="00805137" w:rsidRDefault="00805137" w:rsidP="00805137">
      <w:pPr>
        <w:widowControl w:val="0"/>
        <w:ind w:right="20" w:firstLine="709"/>
        <w:jc w:val="both"/>
        <w:rPr>
          <w:color w:val="000000"/>
          <w:spacing w:val="-1"/>
          <w:sz w:val="26"/>
          <w:szCs w:val="26"/>
          <w:lang w:eastAsia="en-US"/>
        </w:rPr>
      </w:pPr>
      <w:r w:rsidRPr="00805137">
        <w:rPr>
          <w:color w:val="000000"/>
          <w:spacing w:val="-1"/>
          <w:sz w:val="26"/>
          <w:szCs w:val="26"/>
          <w:lang w:eastAsia="en-US"/>
        </w:rPr>
        <w:t>Согласно подпункту 24.9 пункта 24 статьи 133 НК не подлежат вычету суммы налога на добавленную стоимость, предъявленные при приобретении либо уплаченные при ввозе товаров (работ, услуг), имущественных прав, не признаваемых объектами налогообложения налогом на добавленную стоимость в соответствии с подпунктом 2.5.5 пункта 2 статьи 115 НК.</w:t>
      </w:r>
    </w:p>
    <w:p w:rsidR="00805137" w:rsidRPr="00805137" w:rsidRDefault="00805137" w:rsidP="00805137">
      <w:pPr>
        <w:widowControl w:val="0"/>
        <w:ind w:right="20" w:firstLine="709"/>
        <w:jc w:val="both"/>
        <w:rPr>
          <w:color w:val="000000"/>
          <w:spacing w:val="-1"/>
          <w:sz w:val="26"/>
          <w:szCs w:val="26"/>
          <w:lang w:eastAsia="en-US"/>
        </w:rPr>
      </w:pPr>
    </w:p>
    <w:p w:rsidR="00805137" w:rsidRPr="00805137" w:rsidRDefault="00805137" w:rsidP="00805137">
      <w:pPr>
        <w:widowControl w:val="0"/>
        <w:ind w:right="20" w:firstLine="709"/>
        <w:jc w:val="both"/>
        <w:rPr>
          <w:spacing w:val="-1"/>
          <w:sz w:val="30"/>
          <w:szCs w:val="30"/>
          <w:lang w:eastAsia="en-US"/>
        </w:rPr>
      </w:pPr>
      <w:r w:rsidRPr="00805137">
        <w:rPr>
          <w:b/>
          <w:bCs/>
          <w:color w:val="000000"/>
          <w:spacing w:val="1"/>
          <w:sz w:val="30"/>
          <w:shd w:val="clear" w:color="auto" w:fill="FFFFFF"/>
          <w:lang w:eastAsia="en-US"/>
        </w:rPr>
        <w:t xml:space="preserve">Ситуация 2. </w:t>
      </w:r>
      <w:r w:rsidRPr="00805137">
        <w:rPr>
          <w:color w:val="000000"/>
          <w:spacing w:val="-1"/>
          <w:sz w:val="30"/>
          <w:szCs w:val="30"/>
          <w:lang w:eastAsia="en-US"/>
        </w:rPr>
        <w:t>Республиканское унитарное предприятие (далее - РУП) в 2020 году безвозмездно передает товар в адрес бюджетной организации здравоохранения. Товар приобретен в 2020 году. Каков порядок налогообложения указанной безвозмездной передачи у РУП?</w:t>
      </w:r>
    </w:p>
    <w:p w:rsidR="00805137" w:rsidRPr="00805137" w:rsidRDefault="00805137" w:rsidP="00805137">
      <w:pPr>
        <w:widowControl w:val="0"/>
        <w:ind w:firstLine="709"/>
        <w:jc w:val="both"/>
        <w:rPr>
          <w:spacing w:val="-1"/>
          <w:sz w:val="30"/>
          <w:szCs w:val="30"/>
          <w:lang w:eastAsia="en-US"/>
        </w:rPr>
      </w:pPr>
      <w:r w:rsidRPr="00805137">
        <w:rPr>
          <w:color w:val="000000"/>
          <w:spacing w:val="-1"/>
          <w:sz w:val="30"/>
          <w:szCs w:val="30"/>
          <w:lang w:eastAsia="en-US"/>
        </w:rPr>
        <w:t>При безвозмездной передаче товаров бюджетной организации здравоохранения РУП следует руководствоваться подпунктом 2.5.5 пункта 2 статьи 115 НК как специальной нормой, определяющей конкретных получателей</w:t>
      </w:r>
      <w:r w:rsidRPr="00805137">
        <w:rPr>
          <w:color w:val="000000"/>
          <w:sz w:val="30"/>
          <w:shd w:val="clear" w:color="auto" w:fill="FFFFFF"/>
          <w:lang w:eastAsia="en-US"/>
        </w:rPr>
        <w:t xml:space="preserve"> </w:t>
      </w:r>
      <w:r w:rsidRPr="00805137">
        <w:rPr>
          <w:color w:val="000000"/>
          <w:spacing w:val="-1"/>
          <w:sz w:val="30"/>
          <w:szCs w:val="30"/>
          <w:lang w:eastAsia="en-US"/>
        </w:rPr>
        <w:t xml:space="preserve">при такой безвозмездной передаче, </w:t>
      </w:r>
      <w:proofErr w:type="gramStart"/>
      <w:r w:rsidRPr="00805137">
        <w:rPr>
          <w:color w:val="000000"/>
          <w:spacing w:val="-1"/>
          <w:sz w:val="30"/>
          <w:szCs w:val="30"/>
          <w:lang w:eastAsia="en-US"/>
        </w:rPr>
        <w:t>и следовательно</w:t>
      </w:r>
      <w:proofErr w:type="gramEnd"/>
      <w:r w:rsidRPr="00805137">
        <w:rPr>
          <w:color w:val="000000"/>
          <w:spacing w:val="-1"/>
          <w:sz w:val="30"/>
          <w:szCs w:val="30"/>
          <w:lang w:eastAsia="en-US"/>
        </w:rPr>
        <w:t>, при определении налоговых вычетов применять норму подпункта 24.9 пункта 24 статьи 133 НК.</w:t>
      </w:r>
    </w:p>
    <w:p w:rsidR="00805137" w:rsidRPr="00805137" w:rsidRDefault="00805137" w:rsidP="00805137">
      <w:pPr>
        <w:widowControl w:val="0"/>
        <w:ind w:right="20" w:firstLine="709"/>
        <w:jc w:val="both"/>
        <w:rPr>
          <w:spacing w:val="-1"/>
          <w:sz w:val="30"/>
          <w:szCs w:val="30"/>
          <w:lang w:eastAsia="en-US"/>
        </w:rPr>
      </w:pPr>
      <w:r w:rsidRPr="00805137">
        <w:rPr>
          <w:b/>
          <w:bCs/>
          <w:color w:val="000000"/>
          <w:spacing w:val="1"/>
          <w:sz w:val="30"/>
          <w:shd w:val="clear" w:color="auto" w:fill="FFFFFF"/>
          <w:lang w:eastAsia="en-US"/>
        </w:rPr>
        <w:t xml:space="preserve">Ситуация 3. </w:t>
      </w:r>
      <w:r w:rsidRPr="00805137">
        <w:rPr>
          <w:color w:val="000000"/>
          <w:spacing w:val="-1"/>
          <w:sz w:val="30"/>
          <w:szCs w:val="30"/>
          <w:lang w:eastAsia="en-US"/>
        </w:rPr>
        <w:t>Открытое акционерное общество (далее - ОАО) в 2020 году безвозмездно передает имущество, приобретенное на территории Республики Беларусь как в 2018 году, так и в 2020 году в адрес бюджетных организаций здравоохранения, образования, культуры, физкультуры и спорта. Каков порядок налогообложения указанной безвозмездной передачи у ОАО?</w:t>
      </w:r>
    </w:p>
    <w:p w:rsidR="00805137" w:rsidRPr="00805137" w:rsidRDefault="00805137" w:rsidP="00805137">
      <w:pPr>
        <w:widowControl w:val="0"/>
        <w:ind w:right="20" w:firstLine="709"/>
        <w:jc w:val="both"/>
        <w:rPr>
          <w:color w:val="000000"/>
          <w:spacing w:val="-1"/>
          <w:sz w:val="30"/>
          <w:szCs w:val="30"/>
          <w:lang w:eastAsia="en-US"/>
        </w:rPr>
      </w:pPr>
      <w:r w:rsidRPr="00805137">
        <w:rPr>
          <w:color w:val="000000"/>
          <w:spacing w:val="-1"/>
          <w:sz w:val="30"/>
          <w:szCs w:val="30"/>
          <w:lang w:eastAsia="en-US"/>
        </w:rPr>
        <w:t xml:space="preserve">В рассматриваемой ситуации ОАО при безвозмездной передаче имущества бюджетным организациям здравоохранения, образования, культуры, физкультуры и спорта следует руководствоваться подпунктом 2.5.5 пункта 2 статьи 115 НК, как специальной нормой, определяющей конкретных получателей при такой безвозмездной передаче, </w:t>
      </w:r>
      <w:proofErr w:type="gramStart"/>
      <w:r w:rsidRPr="00805137">
        <w:rPr>
          <w:color w:val="000000"/>
          <w:spacing w:val="-1"/>
          <w:sz w:val="30"/>
          <w:szCs w:val="30"/>
          <w:lang w:eastAsia="en-US"/>
        </w:rPr>
        <w:t>и следовательно</w:t>
      </w:r>
      <w:proofErr w:type="gramEnd"/>
      <w:r w:rsidRPr="00805137">
        <w:rPr>
          <w:color w:val="000000"/>
          <w:spacing w:val="-1"/>
          <w:sz w:val="30"/>
          <w:szCs w:val="30"/>
          <w:lang w:eastAsia="en-US"/>
        </w:rPr>
        <w:t>, при определении налоговых вычетов применять норму подпункта 24.9 пункта 24 статьи 133 НК.</w:t>
      </w:r>
    </w:p>
    <w:p w:rsidR="00805137" w:rsidRPr="00805137" w:rsidRDefault="00805137" w:rsidP="00805137">
      <w:pPr>
        <w:widowControl w:val="0"/>
        <w:ind w:right="20" w:firstLine="709"/>
        <w:jc w:val="both"/>
        <w:rPr>
          <w:color w:val="000000"/>
          <w:spacing w:val="-1"/>
          <w:sz w:val="30"/>
          <w:szCs w:val="30"/>
          <w:lang w:eastAsia="en-US"/>
        </w:rPr>
      </w:pPr>
      <w:r w:rsidRPr="00805137">
        <w:rPr>
          <w:color w:val="000000"/>
          <w:spacing w:val="-1"/>
          <w:sz w:val="30"/>
          <w:szCs w:val="30"/>
          <w:lang w:eastAsia="en-US"/>
        </w:rPr>
        <w:t xml:space="preserve">Необходимо отметить, что при безвозмездной передаче имущества, приобретенного до 01.01.2019, ограничение вычетов, установленное подпунктом 24.9 пункта 24 статьи 133 НК, не применяется исходя из норм пункта 28 статьи 133 НК. </w:t>
      </w:r>
      <w:r w:rsidRPr="00805137">
        <w:rPr>
          <w:bCs/>
          <w:spacing w:val="-1"/>
          <w:sz w:val="30"/>
          <w:szCs w:val="30"/>
          <w:lang w:eastAsia="en-US"/>
        </w:rPr>
        <w:t>В</w:t>
      </w:r>
      <w:r w:rsidRPr="00805137">
        <w:rPr>
          <w:spacing w:val="-1"/>
          <w:sz w:val="30"/>
          <w:szCs w:val="30"/>
          <w:lang w:eastAsia="en-US"/>
        </w:rPr>
        <w:t xml:space="preserve">ычет сумм НДС по такой передаче </w:t>
      </w:r>
      <w:r w:rsidRPr="00805137">
        <w:rPr>
          <w:spacing w:val="-1"/>
          <w:sz w:val="30"/>
          <w:szCs w:val="30"/>
          <w:lang w:eastAsia="en-US"/>
        </w:rPr>
        <w:lastRenderedPageBreak/>
        <w:t>осуществляется в соответствии с пунктом 15 статьи 133 НК</w:t>
      </w:r>
      <w:r w:rsidRPr="00805137">
        <w:rPr>
          <w:bCs/>
          <w:spacing w:val="-1"/>
          <w:sz w:val="30"/>
          <w:szCs w:val="30"/>
          <w:lang w:eastAsia="en-US"/>
        </w:rPr>
        <w:t>.</w:t>
      </w:r>
    </w:p>
    <w:p w:rsidR="00805137" w:rsidRPr="00805137" w:rsidRDefault="00805137" w:rsidP="00805137">
      <w:pPr>
        <w:widowControl w:val="0"/>
        <w:ind w:right="20" w:firstLine="709"/>
        <w:jc w:val="both"/>
        <w:rPr>
          <w:color w:val="000000"/>
          <w:spacing w:val="-1"/>
          <w:sz w:val="26"/>
          <w:szCs w:val="26"/>
          <w:lang w:eastAsia="en-US"/>
        </w:rPr>
      </w:pPr>
      <w:r w:rsidRPr="00805137">
        <w:rPr>
          <w:i/>
          <w:color w:val="000000"/>
          <w:spacing w:val="-1"/>
          <w:sz w:val="26"/>
          <w:szCs w:val="26"/>
          <w:lang w:eastAsia="en-US"/>
        </w:rPr>
        <w:t>Справочно.</w:t>
      </w:r>
      <w:r w:rsidRPr="00805137">
        <w:rPr>
          <w:color w:val="000000"/>
          <w:spacing w:val="-1"/>
          <w:sz w:val="26"/>
          <w:szCs w:val="26"/>
          <w:lang w:eastAsia="en-US"/>
        </w:rPr>
        <w:t xml:space="preserve"> В соответствии с пунктом 28 статьи 133 НК при изменении порядка применения налоговых вычетов новый порядок вычетов действует в отношении товаров, оприходованных с момента изменения порядка применения налоговых вычетов.</w:t>
      </w:r>
    </w:p>
    <w:p w:rsidR="00805137" w:rsidRPr="00805137" w:rsidRDefault="00805137" w:rsidP="00805137">
      <w:pPr>
        <w:widowControl w:val="0"/>
        <w:ind w:right="20" w:firstLine="709"/>
        <w:jc w:val="both"/>
        <w:rPr>
          <w:color w:val="000000"/>
          <w:spacing w:val="-1"/>
          <w:sz w:val="26"/>
          <w:szCs w:val="26"/>
          <w:lang w:eastAsia="en-US"/>
        </w:rPr>
      </w:pPr>
      <w:bookmarkStart w:id="0" w:name="_GoBack"/>
      <w:bookmarkEnd w:id="0"/>
    </w:p>
    <w:p w:rsidR="00805137" w:rsidRPr="00805137" w:rsidRDefault="00805137" w:rsidP="00805137">
      <w:pPr>
        <w:autoSpaceDE w:val="0"/>
        <w:autoSpaceDN w:val="0"/>
        <w:adjustRightInd w:val="0"/>
        <w:ind w:firstLine="709"/>
        <w:jc w:val="both"/>
        <w:rPr>
          <w:bCs/>
          <w:sz w:val="30"/>
          <w:szCs w:val="30"/>
        </w:rPr>
      </w:pPr>
      <w:r w:rsidRPr="00805137">
        <w:rPr>
          <w:rFonts w:eastAsia="Calibri"/>
          <w:sz w:val="30"/>
          <w:szCs w:val="30"/>
          <w:lang w:eastAsia="en-US"/>
        </w:rPr>
        <w:t xml:space="preserve">Что касается безвозмездной передачи </w:t>
      </w:r>
      <w:r w:rsidRPr="00805137">
        <w:rPr>
          <w:rFonts w:eastAsia="Calibri"/>
          <w:b/>
          <w:sz w:val="30"/>
          <w:szCs w:val="30"/>
          <w:lang w:eastAsia="en-US"/>
        </w:rPr>
        <w:t>работ, услуг</w:t>
      </w:r>
      <w:r w:rsidRPr="00805137">
        <w:rPr>
          <w:rFonts w:eastAsia="Calibri"/>
          <w:sz w:val="30"/>
          <w:szCs w:val="30"/>
          <w:lang w:eastAsia="en-US"/>
        </w:rPr>
        <w:t>,</w:t>
      </w:r>
      <w:r w:rsidRPr="00805137">
        <w:rPr>
          <w:rFonts w:eastAsia="Calibri"/>
          <w:b/>
          <w:sz w:val="30"/>
          <w:szCs w:val="30"/>
          <w:lang w:eastAsia="en-US"/>
        </w:rPr>
        <w:t xml:space="preserve"> </w:t>
      </w:r>
      <w:r w:rsidRPr="00805137">
        <w:rPr>
          <w:rFonts w:eastAsia="Calibri"/>
          <w:sz w:val="30"/>
          <w:szCs w:val="30"/>
          <w:lang w:eastAsia="en-US"/>
        </w:rPr>
        <w:t xml:space="preserve">то порядка принятия безвозмездно выполняемых работ, оказываемых услуг </w:t>
      </w:r>
      <w:r w:rsidRPr="00805137">
        <w:rPr>
          <w:bCs/>
          <w:sz w:val="30"/>
          <w:szCs w:val="30"/>
        </w:rPr>
        <w:t>Республикой Беларусь или ее административно-территориальными единицами</w:t>
      </w:r>
      <w:r w:rsidRPr="00805137">
        <w:rPr>
          <w:rFonts w:eastAsia="Calibri"/>
          <w:sz w:val="30"/>
          <w:szCs w:val="30"/>
          <w:lang w:eastAsia="en-US"/>
        </w:rPr>
        <w:t xml:space="preserve">, подобного порядку для имущества, закрепленному Указом № 169, законодательством не определено. Передача работ, услуг государственной организации на основании </w:t>
      </w:r>
      <w:r w:rsidRPr="00805137">
        <w:rPr>
          <w:sz w:val="30"/>
          <w:szCs w:val="30"/>
        </w:rPr>
        <w:t xml:space="preserve">договора безвозмездной (спонсорской) помощи </w:t>
      </w:r>
      <w:r w:rsidRPr="00805137">
        <w:rPr>
          <w:b/>
          <w:sz w:val="30"/>
          <w:szCs w:val="30"/>
        </w:rPr>
        <w:t>не может рассматриваться</w:t>
      </w:r>
      <w:r w:rsidRPr="00805137">
        <w:rPr>
          <w:sz w:val="30"/>
          <w:szCs w:val="30"/>
        </w:rPr>
        <w:t xml:space="preserve"> в качестве передачи работ, услуг </w:t>
      </w:r>
      <w:r w:rsidRPr="00805137">
        <w:rPr>
          <w:bCs/>
          <w:sz w:val="30"/>
          <w:szCs w:val="30"/>
        </w:rPr>
        <w:t>в соответствии с законодательством Республике Беларусь или ее административно-территориальным единицам.</w:t>
      </w:r>
    </w:p>
    <w:p w:rsidR="00805137" w:rsidRPr="00805137" w:rsidRDefault="00805137" w:rsidP="00805137">
      <w:pPr>
        <w:autoSpaceDE w:val="0"/>
        <w:autoSpaceDN w:val="0"/>
        <w:adjustRightInd w:val="0"/>
        <w:ind w:firstLine="709"/>
        <w:jc w:val="both"/>
        <w:rPr>
          <w:rFonts w:eastAsia="Calibri"/>
          <w:sz w:val="30"/>
          <w:szCs w:val="30"/>
          <w:lang w:eastAsia="en-US"/>
        </w:rPr>
      </w:pPr>
    </w:p>
    <w:p w:rsidR="00805137" w:rsidRPr="00805137" w:rsidRDefault="00805137" w:rsidP="00805137">
      <w:pPr>
        <w:ind w:firstLine="709"/>
        <w:jc w:val="both"/>
        <w:rPr>
          <w:sz w:val="30"/>
          <w:szCs w:val="30"/>
        </w:rPr>
      </w:pPr>
      <w:r w:rsidRPr="00805137">
        <w:rPr>
          <w:b/>
          <w:sz w:val="30"/>
          <w:szCs w:val="30"/>
        </w:rPr>
        <w:t>Ситуация 4.</w:t>
      </w:r>
      <w:r w:rsidRPr="00805137">
        <w:rPr>
          <w:sz w:val="30"/>
          <w:szCs w:val="30"/>
        </w:rPr>
        <w:t xml:space="preserve"> РУП на основании договора безвозмездной (спонсорской) помощи выполняет работы по разработке проектно-сметной документации для коммунального унитарного предприятия. Облагается ли НДС безвозмездное выполнение работ? </w:t>
      </w:r>
    </w:p>
    <w:p w:rsidR="00805137" w:rsidRPr="00805137" w:rsidRDefault="00805137" w:rsidP="00805137">
      <w:pPr>
        <w:autoSpaceDE w:val="0"/>
        <w:autoSpaceDN w:val="0"/>
        <w:adjustRightInd w:val="0"/>
        <w:ind w:firstLine="709"/>
        <w:jc w:val="both"/>
        <w:rPr>
          <w:rFonts w:eastAsia="Calibri"/>
          <w:sz w:val="30"/>
          <w:szCs w:val="30"/>
          <w:lang w:eastAsia="en-US"/>
        </w:rPr>
      </w:pPr>
      <w:r w:rsidRPr="00805137">
        <w:rPr>
          <w:rFonts w:eastAsia="Calibri"/>
          <w:sz w:val="30"/>
          <w:szCs w:val="30"/>
          <w:lang w:eastAsia="en-US"/>
        </w:rPr>
        <w:t xml:space="preserve">С учетом разъяснения Министерства экономики </w:t>
      </w:r>
      <w:r w:rsidRPr="00805137">
        <w:rPr>
          <w:sz w:val="30"/>
          <w:szCs w:val="30"/>
        </w:rPr>
        <w:t>из описания ситуации усматривается, что:</w:t>
      </w:r>
    </w:p>
    <w:p w:rsidR="00805137" w:rsidRPr="00805137" w:rsidRDefault="00805137" w:rsidP="00805137">
      <w:pPr>
        <w:ind w:firstLine="709"/>
        <w:jc w:val="both"/>
        <w:rPr>
          <w:sz w:val="30"/>
          <w:szCs w:val="30"/>
        </w:rPr>
      </w:pPr>
      <w:r w:rsidRPr="00805137">
        <w:rPr>
          <w:sz w:val="30"/>
          <w:szCs w:val="30"/>
        </w:rPr>
        <w:t>передача гражданских прав и обязанностей на проектно-сметную документацию осуществляется от одного участника гражданского оборота другому участнику гражданского оборота на основании одного из видов гражданско-правовых договоров - договора безвозмездной (спонсорской) помощи (пункт 1) части второй пункта 1 статьи 7 Гражданского кодекса Республики Беларусь, далее - ГК);</w:t>
      </w:r>
    </w:p>
    <w:p w:rsidR="00805137" w:rsidRPr="00805137" w:rsidRDefault="00805137" w:rsidP="00805137">
      <w:pPr>
        <w:ind w:firstLine="709"/>
        <w:jc w:val="both"/>
        <w:rPr>
          <w:sz w:val="30"/>
          <w:szCs w:val="30"/>
        </w:rPr>
      </w:pPr>
      <w:r w:rsidRPr="00805137">
        <w:rPr>
          <w:bCs/>
          <w:sz w:val="30"/>
          <w:szCs w:val="30"/>
        </w:rPr>
        <w:t xml:space="preserve"> не издавались</w:t>
      </w:r>
      <w:r w:rsidRPr="00805137">
        <w:rPr>
          <w:sz w:val="30"/>
          <w:szCs w:val="30"/>
        </w:rPr>
        <w:t xml:space="preserve"> акты государственных органов и органов местного управления и самоуправления, которые предусматривают передачу работ (услуг) </w:t>
      </w:r>
      <w:r w:rsidRPr="00805137">
        <w:rPr>
          <w:bCs/>
          <w:sz w:val="30"/>
          <w:szCs w:val="30"/>
        </w:rPr>
        <w:t>Республике Беларусь или ее административно-территориальным единицам</w:t>
      </w:r>
      <w:r w:rsidRPr="00805137">
        <w:rPr>
          <w:sz w:val="30"/>
          <w:szCs w:val="30"/>
        </w:rPr>
        <w:t xml:space="preserve"> (на основании пункта 3 статьи 125 ГК).</w:t>
      </w:r>
    </w:p>
    <w:p w:rsidR="00805137" w:rsidRPr="00805137" w:rsidRDefault="00805137" w:rsidP="00805137">
      <w:pPr>
        <w:ind w:firstLine="709"/>
        <w:jc w:val="both"/>
        <w:rPr>
          <w:bCs/>
          <w:sz w:val="30"/>
          <w:szCs w:val="30"/>
        </w:rPr>
      </w:pPr>
      <w:r w:rsidRPr="00805137">
        <w:rPr>
          <w:sz w:val="30"/>
          <w:szCs w:val="30"/>
        </w:rPr>
        <w:t>Соответственно,</w:t>
      </w:r>
      <w:r w:rsidRPr="00805137">
        <w:rPr>
          <w:bCs/>
          <w:sz w:val="30"/>
          <w:szCs w:val="30"/>
        </w:rPr>
        <w:t xml:space="preserve"> при безвозмездной передаче работ в изложенной ситуации не обеспечивается соблюдение нормы пункта 12 Указа № 503.</w:t>
      </w:r>
    </w:p>
    <w:p w:rsidR="00805137" w:rsidRPr="00805137" w:rsidRDefault="00805137" w:rsidP="00805137">
      <w:pPr>
        <w:autoSpaceDE w:val="0"/>
        <w:autoSpaceDN w:val="0"/>
        <w:adjustRightInd w:val="0"/>
        <w:ind w:firstLine="709"/>
        <w:jc w:val="both"/>
        <w:rPr>
          <w:rFonts w:eastAsia="Calibri"/>
          <w:sz w:val="30"/>
          <w:szCs w:val="30"/>
          <w:lang w:eastAsia="en-US"/>
        </w:rPr>
      </w:pPr>
      <w:r w:rsidRPr="00805137">
        <w:rPr>
          <w:sz w:val="30"/>
          <w:szCs w:val="30"/>
        </w:rPr>
        <w:t xml:space="preserve">Учитывая изложенное, у республиканского унитарного предприятия безвозмездное выполнение на основании </w:t>
      </w:r>
      <w:r w:rsidRPr="00805137">
        <w:rPr>
          <w:bCs/>
          <w:sz w:val="30"/>
          <w:szCs w:val="30"/>
        </w:rPr>
        <w:t xml:space="preserve">договора безвозмездной (спонсорской) помощи </w:t>
      </w:r>
      <w:r w:rsidRPr="00805137">
        <w:rPr>
          <w:sz w:val="30"/>
          <w:szCs w:val="30"/>
        </w:rPr>
        <w:t xml:space="preserve">работ по разработке проектно-сметной документации коммунальному унитарному предприятию </w:t>
      </w:r>
      <w:r w:rsidRPr="00805137">
        <w:rPr>
          <w:bCs/>
          <w:sz w:val="30"/>
          <w:szCs w:val="30"/>
        </w:rPr>
        <w:t>облагается НДС в общеустановленном порядке.</w:t>
      </w:r>
    </w:p>
    <w:p w:rsidR="00805137" w:rsidRPr="00805137" w:rsidRDefault="00805137" w:rsidP="00805137">
      <w:pPr>
        <w:spacing w:line="360" w:lineRule="auto"/>
        <w:ind w:firstLine="709"/>
        <w:jc w:val="both"/>
        <w:rPr>
          <w:sz w:val="30"/>
          <w:szCs w:val="30"/>
        </w:rPr>
      </w:pPr>
    </w:p>
    <w:p w:rsidR="001C6D25" w:rsidRPr="001C6D25" w:rsidRDefault="00805137" w:rsidP="00805137">
      <w:pPr>
        <w:spacing w:line="280" w:lineRule="exact"/>
        <w:jc w:val="both"/>
        <w:rPr>
          <w:sz w:val="30"/>
          <w:szCs w:val="30"/>
        </w:rPr>
      </w:pPr>
      <w:r w:rsidRPr="00805137">
        <w:rPr>
          <w:sz w:val="30"/>
          <w:szCs w:val="30"/>
        </w:rPr>
        <w:t>Заместитель Министра                                                Э.А. Селицкая</w:t>
      </w:r>
    </w:p>
    <w:p w:rsidR="008E1B8D" w:rsidRPr="008E1B8D" w:rsidRDefault="008E1B8D" w:rsidP="008E1B8D">
      <w:pPr>
        <w:spacing w:line="360" w:lineRule="auto"/>
        <w:ind w:left="4820"/>
        <w:jc w:val="both"/>
        <w:rPr>
          <w:color w:val="000000"/>
          <w:sz w:val="30"/>
          <w:szCs w:val="30"/>
        </w:rPr>
      </w:pPr>
    </w:p>
    <w:sectPr w:rsidR="008E1B8D" w:rsidRPr="008E1B8D" w:rsidSect="00C11D71">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40E42"/>
    <w:multiLevelType w:val="hybridMultilevel"/>
    <w:tmpl w:val="BA049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35425A"/>
    <w:multiLevelType w:val="hybridMultilevel"/>
    <w:tmpl w:val="7244F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7D5B8E"/>
    <w:multiLevelType w:val="hybridMultilevel"/>
    <w:tmpl w:val="9788E87E"/>
    <w:lvl w:ilvl="0" w:tplc="70F4C01C">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30008A"/>
    <w:multiLevelType w:val="hybridMultilevel"/>
    <w:tmpl w:val="9004842C"/>
    <w:lvl w:ilvl="0" w:tplc="E194AC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C185BF7"/>
    <w:multiLevelType w:val="hybridMultilevel"/>
    <w:tmpl w:val="D730C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B7"/>
    <w:rsid w:val="00024E16"/>
    <w:rsid w:val="000302C5"/>
    <w:rsid w:val="00031D0D"/>
    <w:rsid w:val="00061685"/>
    <w:rsid w:val="000A259B"/>
    <w:rsid w:val="00102113"/>
    <w:rsid w:val="00103F9F"/>
    <w:rsid w:val="0012111C"/>
    <w:rsid w:val="00195B05"/>
    <w:rsid w:val="001C6D25"/>
    <w:rsid w:val="001F42E2"/>
    <w:rsid w:val="00247787"/>
    <w:rsid w:val="00254855"/>
    <w:rsid w:val="0037559C"/>
    <w:rsid w:val="003C7023"/>
    <w:rsid w:val="003E00E5"/>
    <w:rsid w:val="003F104B"/>
    <w:rsid w:val="00420BC7"/>
    <w:rsid w:val="00427A59"/>
    <w:rsid w:val="0043524D"/>
    <w:rsid w:val="00483802"/>
    <w:rsid w:val="00545E3E"/>
    <w:rsid w:val="0055781C"/>
    <w:rsid w:val="005C13A5"/>
    <w:rsid w:val="005D65B2"/>
    <w:rsid w:val="005D7C4A"/>
    <w:rsid w:val="006147B4"/>
    <w:rsid w:val="00621081"/>
    <w:rsid w:val="00666276"/>
    <w:rsid w:val="006871F6"/>
    <w:rsid w:val="006F2280"/>
    <w:rsid w:val="0070055A"/>
    <w:rsid w:val="00702E9A"/>
    <w:rsid w:val="007305D2"/>
    <w:rsid w:val="00742037"/>
    <w:rsid w:val="00761A40"/>
    <w:rsid w:val="00763AAB"/>
    <w:rsid w:val="007A7327"/>
    <w:rsid w:val="00805137"/>
    <w:rsid w:val="008E1B8D"/>
    <w:rsid w:val="008F2996"/>
    <w:rsid w:val="00907325"/>
    <w:rsid w:val="00926E47"/>
    <w:rsid w:val="009A3F1A"/>
    <w:rsid w:val="009F6B79"/>
    <w:rsid w:val="009F6D82"/>
    <w:rsid w:val="00A607E1"/>
    <w:rsid w:val="00A75A3E"/>
    <w:rsid w:val="00A83CCF"/>
    <w:rsid w:val="00AC375E"/>
    <w:rsid w:val="00B3691D"/>
    <w:rsid w:val="00B866DD"/>
    <w:rsid w:val="00C11D71"/>
    <w:rsid w:val="00C13DB7"/>
    <w:rsid w:val="00C57F5A"/>
    <w:rsid w:val="00C62196"/>
    <w:rsid w:val="00C638DA"/>
    <w:rsid w:val="00C66040"/>
    <w:rsid w:val="00CC6E08"/>
    <w:rsid w:val="00CD76FD"/>
    <w:rsid w:val="00D212D5"/>
    <w:rsid w:val="00D2164F"/>
    <w:rsid w:val="00D72B88"/>
    <w:rsid w:val="00D83D9E"/>
    <w:rsid w:val="00D93160"/>
    <w:rsid w:val="00DB234C"/>
    <w:rsid w:val="00DB3CD0"/>
    <w:rsid w:val="00E656E2"/>
    <w:rsid w:val="00EA5D9C"/>
    <w:rsid w:val="00EB5923"/>
    <w:rsid w:val="00EC7D15"/>
    <w:rsid w:val="00F03FE3"/>
    <w:rsid w:val="00F346AA"/>
    <w:rsid w:val="00F92D32"/>
    <w:rsid w:val="00FB1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86C983F-B434-4D7D-9A07-9390A8CF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DB7"/>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C6219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semiHidden/>
    <w:unhideWhenUsed/>
    <w:qFormat/>
    <w:rsid w:val="00C62196"/>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C62196"/>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C62196"/>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C62196"/>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C6219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C62196"/>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C62196"/>
    <w:pPr>
      <w:keepNext/>
      <w:keepLines/>
      <w:spacing w:before="200" w:line="276" w:lineRule="auto"/>
      <w:outlineLvl w:val="7"/>
    </w:pPr>
    <w:rPr>
      <w:rFonts w:asciiTheme="majorHAnsi" w:eastAsiaTheme="majorEastAsia" w:hAnsiTheme="majorHAnsi" w:cstheme="majorBidi"/>
      <w:color w:val="4F81BD" w:themeColor="accent1"/>
      <w:lang w:val="en-US" w:eastAsia="en-US" w:bidi="en-US"/>
    </w:rPr>
  </w:style>
  <w:style w:type="paragraph" w:styleId="9">
    <w:name w:val="heading 9"/>
    <w:basedOn w:val="a"/>
    <w:next w:val="a"/>
    <w:link w:val="90"/>
    <w:uiPriority w:val="9"/>
    <w:semiHidden/>
    <w:unhideWhenUsed/>
    <w:qFormat/>
    <w:rsid w:val="00C62196"/>
    <w:pPr>
      <w:keepNext/>
      <w:keepLines/>
      <w:spacing w:before="200" w:line="276" w:lineRule="auto"/>
      <w:outlineLvl w:val="8"/>
    </w:pPr>
    <w:rPr>
      <w:rFonts w:asciiTheme="majorHAnsi" w:eastAsiaTheme="majorEastAsia" w:hAnsiTheme="majorHAnsi" w:cstheme="majorBidi"/>
      <w:i/>
      <w:iCs/>
      <w:color w:val="404040" w:themeColor="text1" w:themeTint="BF"/>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21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621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6219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6219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6219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6219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6219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6219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6219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62196"/>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C621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Заголовок Знак"/>
    <w:basedOn w:val="a0"/>
    <w:link w:val="a4"/>
    <w:uiPriority w:val="10"/>
    <w:rsid w:val="00C6219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62196"/>
    <w:pPr>
      <w:numPr>
        <w:ilvl w:val="1"/>
      </w:numPr>
      <w:spacing w:after="200" w:line="276" w:lineRule="auto"/>
    </w:pPr>
    <w:rPr>
      <w:rFonts w:asciiTheme="majorHAnsi" w:eastAsiaTheme="majorEastAsia" w:hAnsiTheme="majorHAnsi" w:cstheme="majorBidi"/>
      <w:i/>
      <w:iCs/>
      <w:color w:val="4F81BD" w:themeColor="accent1"/>
      <w:spacing w:val="15"/>
      <w:sz w:val="24"/>
      <w:szCs w:val="24"/>
      <w:lang w:val="en-US" w:eastAsia="en-US" w:bidi="en-US"/>
    </w:rPr>
  </w:style>
  <w:style w:type="character" w:customStyle="1" w:styleId="a7">
    <w:name w:val="Подзаголовок Знак"/>
    <w:basedOn w:val="a0"/>
    <w:link w:val="a6"/>
    <w:uiPriority w:val="11"/>
    <w:rsid w:val="00C6219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62196"/>
    <w:rPr>
      <w:b/>
      <w:bCs/>
    </w:rPr>
  </w:style>
  <w:style w:type="character" w:styleId="a9">
    <w:name w:val="Emphasis"/>
    <w:basedOn w:val="a0"/>
    <w:uiPriority w:val="20"/>
    <w:qFormat/>
    <w:rsid w:val="00C62196"/>
    <w:rPr>
      <w:i/>
      <w:iCs/>
    </w:rPr>
  </w:style>
  <w:style w:type="paragraph" w:styleId="aa">
    <w:name w:val="No Spacing"/>
    <w:uiPriority w:val="1"/>
    <w:qFormat/>
    <w:rsid w:val="00C62196"/>
    <w:pPr>
      <w:spacing w:after="0" w:line="240" w:lineRule="auto"/>
    </w:pPr>
  </w:style>
  <w:style w:type="paragraph" w:styleId="ab">
    <w:name w:val="List Paragraph"/>
    <w:basedOn w:val="a"/>
    <w:uiPriority w:val="34"/>
    <w:qFormat/>
    <w:rsid w:val="00C62196"/>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C62196"/>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C62196"/>
    <w:rPr>
      <w:i/>
      <w:iCs/>
      <w:color w:val="000000" w:themeColor="text1"/>
    </w:rPr>
  </w:style>
  <w:style w:type="paragraph" w:styleId="ac">
    <w:name w:val="Intense Quote"/>
    <w:basedOn w:val="a"/>
    <w:next w:val="a"/>
    <w:link w:val="ad"/>
    <w:uiPriority w:val="30"/>
    <w:qFormat/>
    <w:rsid w:val="00C62196"/>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C62196"/>
    <w:rPr>
      <w:b/>
      <w:bCs/>
      <w:i/>
      <w:iCs/>
      <w:color w:val="4F81BD" w:themeColor="accent1"/>
    </w:rPr>
  </w:style>
  <w:style w:type="character" w:styleId="ae">
    <w:name w:val="Subtle Emphasis"/>
    <w:basedOn w:val="a0"/>
    <w:uiPriority w:val="19"/>
    <w:qFormat/>
    <w:rsid w:val="00C62196"/>
    <w:rPr>
      <w:i/>
      <w:iCs/>
      <w:color w:val="808080" w:themeColor="text1" w:themeTint="7F"/>
    </w:rPr>
  </w:style>
  <w:style w:type="character" w:styleId="af">
    <w:name w:val="Intense Emphasis"/>
    <w:basedOn w:val="a0"/>
    <w:uiPriority w:val="21"/>
    <w:qFormat/>
    <w:rsid w:val="00C62196"/>
    <w:rPr>
      <w:b/>
      <w:bCs/>
      <w:i/>
      <w:iCs/>
      <w:color w:val="4F81BD" w:themeColor="accent1"/>
    </w:rPr>
  </w:style>
  <w:style w:type="character" w:styleId="af0">
    <w:name w:val="Subtle Reference"/>
    <w:basedOn w:val="a0"/>
    <w:uiPriority w:val="31"/>
    <w:qFormat/>
    <w:rsid w:val="00C62196"/>
    <w:rPr>
      <w:smallCaps/>
      <w:color w:val="C0504D" w:themeColor="accent2"/>
      <w:u w:val="single"/>
    </w:rPr>
  </w:style>
  <w:style w:type="character" w:styleId="af1">
    <w:name w:val="Intense Reference"/>
    <w:basedOn w:val="a0"/>
    <w:uiPriority w:val="32"/>
    <w:qFormat/>
    <w:rsid w:val="00C62196"/>
    <w:rPr>
      <w:b/>
      <w:bCs/>
      <w:smallCaps/>
      <w:color w:val="C0504D" w:themeColor="accent2"/>
      <w:spacing w:val="5"/>
      <w:u w:val="single"/>
    </w:rPr>
  </w:style>
  <w:style w:type="character" w:styleId="af2">
    <w:name w:val="Book Title"/>
    <w:basedOn w:val="a0"/>
    <w:uiPriority w:val="33"/>
    <w:qFormat/>
    <w:rsid w:val="00C62196"/>
    <w:rPr>
      <w:b/>
      <w:bCs/>
      <w:smallCaps/>
      <w:spacing w:val="5"/>
    </w:rPr>
  </w:style>
  <w:style w:type="paragraph" w:styleId="af3">
    <w:name w:val="TOC Heading"/>
    <w:basedOn w:val="1"/>
    <w:next w:val="a"/>
    <w:uiPriority w:val="39"/>
    <w:semiHidden/>
    <w:unhideWhenUsed/>
    <w:qFormat/>
    <w:rsid w:val="00C62196"/>
    <w:pPr>
      <w:outlineLvl w:val="9"/>
    </w:pPr>
  </w:style>
  <w:style w:type="paragraph" w:styleId="af4">
    <w:name w:val="Balloon Text"/>
    <w:basedOn w:val="a"/>
    <w:link w:val="af5"/>
    <w:uiPriority w:val="99"/>
    <w:semiHidden/>
    <w:unhideWhenUsed/>
    <w:rsid w:val="00CC6E08"/>
    <w:rPr>
      <w:rFonts w:ascii="Tahoma" w:hAnsi="Tahoma" w:cs="Tahoma"/>
      <w:sz w:val="16"/>
      <w:szCs w:val="16"/>
    </w:rPr>
  </w:style>
  <w:style w:type="character" w:customStyle="1" w:styleId="af5">
    <w:name w:val="Текст выноски Знак"/>
    <w:basedOn w:val="a0"/>
    <w:link w:val="af4"/>
    <w:uiPriority w:val="99"/>
    <w:semiHidden/>
    <w:rsid w:val="00CC6E08"/>
    <w:rPr>
      <w:rFonts w:ascii="Tahoma" w:eastAsia="Times New Roman" w:hAnsi="Tahoma" w:cs="Tahoma"/>
      <w:sz w:val="16"/>
      <w:szCs w:val="16"/>
      <w:lang w:val="ru-RU" w:eastAsia="ru-RU" w:bidi="ar-SA"/>
    </w:rPr>
  </w:style>
  <w:style w:type="table" w:styleId="af6">
    <w:name w:val="Table Grid"/>
    <w:basedOn w:val="a1"/>
    <w:rsid w:val="0055781C"/>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49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5910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i.filipchik</dc:creator>
  <cp:lastModifiedBy>Ирина Клезович</cp:lastModifiedBy>
  <cp:revision>2</cp:revision>
  <cp:lastPrinted>2018-02-12T08:32:00Z</cp:lastPrinted>
  <dcterms:created xsi:type="dcterms:W3CDTF">2020-09-22T17:05:00Z</dcterms:created>
  <dcterms:modified xsi:type="dcterms:W3CDTF">2020-09-22T17:05:00Z</dcterms:modified>
</cp:coreProperties>
</file>