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EA" w:rsidRDefault="003B40EA" w:rsidP="003B40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A87413">
        <w:rPr>
          <w:rFonts w:ascii="Times New Roman" w:eastAsia="Times New Roman" w:hAnsi="Times New Roman" w:cs="Times New Roman"/>
          <w:b/>
          <w:bCs/>
          <w:lang w:eastAsia="ru-RU"/>
        </w:rPr>
        <w:t>НК РФ</w:t>
      </w:r>
    </w:p>
    <w:p w:rsidR="003B40EA" w:rsidRPr="00A87413" w:rsidRDefault="003B40EA" w:rsidP="003B40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A87413">
        <w:rPr>
          <w:rFonts w:ascii="Times New Roman" w:hAnsi="Times New Roman" w:cs="Times New Roman"/>
          <w:b/>
          <w:bCs/>
          <w:color w:val="22272F"/>
          <w:shd w:val="clear" w:color="auto" w:fill="FFFFFF"/>
        </w:rPr>
        <w:t>Глава 25. Налог на прибыль организаций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22272F"/>
          <w:lang w:eastAsia="ru-RU"/>
        </w:rPr>
      </w:pPr>
      <w:r w:rsidRPr="003B40EA">
        <w:rPr>
          <w:rFonts w:ascii="Times New Roman" w:eastAsia="Times New Roman" w:hAnsi="Times New Roman" w:cs="Times New Roman"/>
          <w:b/>
          <w:bCs/>
          <w:i/>
          <w:color w:val="22272F"/>
          <w:lang w:eastAsia="ru-RU"/>
        </w:rPr>
        <w:t>Статья 255. Расходы на оплату труда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>В расходы налогоплательщика на оплату труда включаются любые начисления работникам в денежной и (или) натуральной формах, стимулирующие начисления и надбавки, компенсационные начисления, связанные с режимом работы или условиями труда, премии и единовременные поощрительные начисления, расходы, связанные с содержанием этих работников, предусмотренные нормами законодательства Российской Федерации, трудовыми договорами (контрактами) и (или) коллективными договорами.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>К расходам на оплату труда в целях настоящей главы относятся, в частности: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>1) суммы, начисленные по тарифным ставкам, должностным окладам, сдельным расценкам или в процентах от выручки в соответствии с принятыми у налогоплательщика формами и системами оплаты труда;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>2) начисления стимулирующего характера, в том числе премии за производственные результаты, надбавки к тарифным ставкам и окладам за профессиональное мастерство, высокие достижения в труде и иные подобные показатели;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>3) начисления стимулирующего и (или) компенсирующего характера, связанные с режимом работы и условиями труда, в том числе надбавки к тарифным ставкам и окладам за работу в ночное время, работу в многосменном режиме, за совмещение профессий, расширение зон обслуживания, за работу в тяжелых, вредных, особо вредных условиях труда, за сверхурочную работу и работу в выходные и праздничные дни, производимые в соответствии с законодательством Российской Федерации;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4) стоимость бесплатно предоставляемых работникам в соответствии с законодательством Российской Федерации коммунальных услуг, питания и продуктов, предоставляемого работникам налогоплательщика в соответствии с установленным законодательством Российской Федерации порядком бесплатного жилья (суммы денежной компенсации за </w:t>
      </w:r>
      <w:proofErr w:type="spellStart"/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>непредоставление</w:t>
      </w:r>
      <w:proofErr w:type="spellEnd"/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бесплатного жилья, коммунальных и иных подобных услуг);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hyperlink r:id="rId4" w:history="1">
        <w:r w:rsidRPr="003B40EA">
          <w:rPr>
            <w:rFonts w:ascii="Times New Roman" w:eastAsia="Times New Roman" w:hAnsi="Times New Roman" w:cs="Times New Roman"/>
            <w:bCs/>
            <w:lang w:eastAsia="ru-RU"/>
          </w:rPr>
          <w:t>5)</w:t>
        </w:r>
      </w:hyperlink>
      <w:r w:rsidRPr="003B40EA">
        <w:rPr>
          <w:rFonts w:ascii="Times New Roman" w:eastAsia="Times New Roman" w:hAnsi="Times New Roman" w:cs="Times New Roman"/>
          <w:bCs/>
          <w:lang w:eastAsia="ru-RU"/>
        </w:rPr>
        <w:t> расходы на приобретение (изготовление) выдаваемых в соответствии с законодательством Российской Федерации работникам бесплатно либо продаваемых работникам по пониженным ценам форменной одежды и обмундирования (в части стоимости, не компенсируемой работниками), которые остаются в личном постоянном пользовании работников. В таком же порядке учитываются расходы на приобретение или изготовление организацией форменной одежды и обуви, которые свидетельствуют о принадлежности работников к данной организации;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hyperlink r:id="rId5" w:history="1">
        <w:r w:rsidRPr="003B40EA">
          <w:rPr>
            <w:rFonts w:ascii="Times New Roman" w:eastAsia="Times New Roman" w:hAnsi="Times New Roman" w:cs="Times New Roman"/>
            <w:bCs/>
            <w:lang w:eastAsia="ru-RU"/>
          </w:rPr>
          <w:t>6)</w:t>
        </w:r>
      </w:hyperlink>
      <w:r w:rsidRPr="003B40EA">
        <w:rPr>
          <w:rFonts w:ascii="Times New Roman" w:eastAsia="Times New Roman" w:hAnsi="Times New Roman" w:cs="Times New Roman"/>
          <w:bCs/>
          <w:lang w:eastAsia="ru-RU"/>
        </w:rPr>
        <w:t> сумма начисленного работникам </w:t>
      </w:r>
      <w:hyperlink r:id="rId6" w:anchor="block_139" w:history="1">
        <w:r w:rsidRPr="003B40EA">
          <w:rPr>
            <w:rFonts w:ascii="Times New Roman" w:eastAsia="Times New Roman" w:hAnsi="Times New Roman" w:cs="Times New Roman"/>
            <w:bCs/>
            <w:lang w:eastAsia="ru-RU"/>
          </w:rPr>
          <w:t>среднего заработка</w:t>
        </w:r>
      </w:hyperlink>
      <w:r w:rsidRPr="003B40EA">
        <w:rPr>
          <w:rFonts w:ascii="Times New Roman" w:eastAsia="Times New Roman" w:hAnsi="Times New Roman" w:cs="Times New Roman"/>
          <w:bCs/>
          <w:lang w:eastAsia="ru-RU"/>
        </w:rPr>
        <w:t>, сохраняемого на время выполнения ими госу</w:t>
      </w: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дарственных и (или) общественных обязанностей и в других случаях, </w:t>
      </w:r>
      <w:r w:rsidRPr="003B40EA">
        <w:rPr>
          <w:rFonts w:ascii="Times New Roman" w:eastAsia="Times New Roman" w:hAnsi="Times New Roman" w:cs="Times New Roman"/>
          <w:bCs/>
          <w:lang w:eastAsia="ru-RU"/>
        </w:rPr>
        <w:t>предусмотренных </w:t>
      </w:r>
      <w:hyperlink r:id="rId7" w:anchor="block_1025" w:history="1">
        <w:r w:rsidRPr="003B40EA">
          <w:rPr>
            <w:rFonts w:ascii="Times New Roman" w:eastAsia="Times New Roman" w:hAnsi="Times New Roman" w:cs="Times New Roman"/>
            <w:bCs/>
            <w:lang w:eastAsia="ru-RU"/>
          </w:rPr>
          <w:t>законодательством</w:t>
        </w:r>
      </w:hyperlink>
      <w:r w:rsidRPr="003B40EA">
        <w:rPr>
          <w:rFonts w:ascii="Times New Roman" w:eastAsia="Times New Roman" w:hAnsi="Times New Roman" w:cs="Times New Roman"/>
          <w:bCs/>
          <w:lang w:eastAsia="ru-RU"/>
        </w:rPr>
        <w:t xml:space="preserve"> Российской </w:t>
      </w: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Федерации о труде;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>7) расходы в виде среднего заработка, сохраняемого работникам на время отпуска, предусмотренного законодательством Российской Федерации, фактические расходы на оплату проезда работников и лиц, находящихся у этих работников на иждивении, к месту использования отпуска на территории Российской Федерации и обратно (включая расходы на оплату провоза багажа работников организаций, расположенных в районах Крайнего Севера и приравненных к ним местностях) в порядке, предусмотренном действующим законодательством - для организаций, финансируемых из соответствующих бюджетов и в порядке, предусмотренном работодателем - для иных организаций, доплата несовершеннолетним за сокращенное рабочее время, расходы на оплату перерывов в работе матерей для кормления ребенка, а также расходы на оплату времени, связанного с прохождением медицинских осмотров;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>8) денежные компенсации за неиспользованный отпуск в соответствии с </w:t>
      </w:r>
      <w:hyperlink r:id="rId8" w:anchor="block_126" w:history="1">
        <w:r w:rsidRPr="003B40EA">
          <w:rPr>
            <w:rFonts w:ascii="Times New Roman" w:eastAsia="Times New Roman" w:hAnsi="Times New Roman" w:cs="Times New Roman"/>
            <w:bCs/>
            <w:lang w:eastAsia="ru-RU"/>
          </w:rPr>
          <w:t>трудовым законодательством</w:t>
        </w:r>
      </w:hyperlink>
      <w:r w:rsidRPr="003B40EA">
        <w:rPr>
          <w:rFonts w:ascii="Times New Roman" w:eastAsia="Times New Roman" w:hAnsi="Times New Roman" w:cs="Times New Roman"/>
          <w:bCs/>
          <w:lang w:eastAsia="ru-RU"/>
        </w:rPr>
        <w:t> Российской Федерации;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hyperlink r:id="rId9" w:history="1">
        <w:r w:rsidRPr="003B40EA">
          <w:rPr>
            <w:rFonts w:ascii="Times New Roman" w:eastAsia="Times New Roman" w:hAnsi="Times New Roman" w:cs="Times New Roman"/>
            <w:bCs/>
            <w:lang w:eastAsia="ru-RU"/>
          </w:rPr>
          <w:t>9)</w:t>
        </w:r>
      </w:hyperlink>
      <w:r w:rsidRPr="003B40EA">
        <w:rPr>
          <w:rFonts w:ascii="Times New Roman" w:eastAsia="Times New Roman" w:hAnsi="Times New Roman" w:cs="Times New Roman"/>
          <w:bCs/>
          <w:lang w:eastAsia="ru-RU"/>
        </w:rPr>
        <w:t> начи</w:t>
      </w: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>сления увольняемым работникам, в том числе в связи с реорганизацией или ликвидацией налогоплательщика, сокращением численности или штата работников налогоплательщика. В целях настоящего пункта начислениями увольняемым работникам признаются, в частности, выходные пособия, производимые работодателем при прекращении трудового договора, предусмотренные трудовыми договорами и (или) отдельными соглашениями сторон трудового договора, в том числе соглашениями о расторжении трудового договора, а также коллективными договорами, соглашениями и локальными нормативными актами, содержащими нормы трудового права;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lang w:eastAsia="ru-RU"/>
        </w:rPr>
        <w:lastRenderedPageBreak/>
        <w:t>10) единовременные вознаграждения за выслугу лет (надбавки за стаж работы по специальности) в соответствии с </w:t>
      </w:r>
      <w:hyperlink r:id="rId10" w:anchor="block_1352" w:history="1">
        <w:r w:rsidRPr="003B40EA">
          <w:rPr>
            <w:rFonts w:ascii="Times New Roman" w:eastAsia="Times New Roman" w:hAnsi="Times New Roman" w:cs="Times New Roman"/>
            <w:bCs/>
            <w:lang w:eastAsia="ru-RU"/>
          </w:rPr>
          <w:t>законодательством</w:t>
        </w:r>
      </w:hyperlink>
      <w:r w:rsidRPr="003B40EA">
        <w:rPr>
          <w:rFonts w:ascii="Times New Roman" w:eastAsia="Times New Roman" w:hAnsi="Times New Roman" w:cs="Times New Roman"/>
          <w:bCs/>
          <w:lang w:eastAsia="ru-RU"/>
        </w:rPr>
        <w:t> Российской Федерации;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lang w:eastAsia="ru-RU"/>
        </w:rPr>
        <w:t>11) надбавки, обусловленные районным регулированием оплаты труда, в том числе начисления по районным коэффициентам и коэффициентам за работу в тяжелых природно-климатических условиях;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hyperlink r:id="rId11" w:history="1">
        <w:r w:rsidRPr="003B40EA">
          <w:rPr>
            <w:rFonts w:ascii="Times New Roman" w:eastAsia="Times New Roman" w:hAnsi="Times New Roman" w:cs="Times New Roman"/>
            <w:bCs/>
            <w:lang w:eastAsia="ru-RU"/>
          </w:rPr>
          <w:t>12)</w:t>
        </w:r>
      </w:hyperlink>
      <w:r w:rsidRPr="003B40EA">
        <w:rPr>
          <w:rFonts w:ascii="Times New Roman" w:eastAsia="Times New Roman" w:hAnsi="Times New Roman" w:cs="Times New Roman"/>
          <w:bCs/>
          <w:lang w:eastAsia="ru-RU"/>
        </w:rPr>
        <w:t> надбавки за непрерывный стаж работы в районах Крайнего Севера и приравненных к ним местностях, в районах европейского Севера и других районах с тяжелыми природно-климатическими условиями;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hyperlink r:id="rId12" w:history="1">
        <w:r w:rsidRPr="003B40EA">
          <w:rPr>
            <w:rFonts w:ascii="Times New Roman" w:eastAsia="Times New Roman" w:hAnsi="Times New Roman" w:cs="Times New Roman"/>
            <w:bCs/>
            <w:lang w:eastAsia="ru-RU"/>
          </w:rPr>
          <w:t>12.1)</w:t>
        </w:r>
      </w:hyperlink>
      <w:r w:rsidRPr="003B40EA">
        <w:rPr>
          <w:rFonts w:ascii="Times New Roman" w:eastAsia="Times New Roman" w:hAnsi="Times New Roman" w:cs="Times New Roman"/>
          <w:bCs/>
          <w:lang w:eastAsia="ru-RU"/>
        </w:rPr>
        <w:t> стоимость проезда по фактическим расходам и стоимость провоза багажа из расчета не более 5 тонн на семью по фактическим расходам, но не выше тарифов, предусмотренных для перевозок железнодорожным транспортом работнику организации, расположенной в </w:t>
      </w:r>
      <w:hyperlink r:id="rId13" w:anchor="block_1000" w:history="1">
        <w:r w:rsidRPr="003B40EA">
          <w:rPr>
            <w:rFonts w:ascii="Times New Roman" w:eastAsia="Times New Roman" w:hAnsi="Times New Roman" w:cs="Times New Roman"/>
            <w:bCs/>
            <w:lang w:eastAsia="ru-RU"/>
          </w:rPr>
          <w:t>районах</w:t>
        </w:r>
      </w:hyperlink>
      <w:r w:rsidRPr="003B40EA">
        <w:rPr>
          <w:rFonts w:ascii="Times New Roman" w:eastAsia="Times New Roman" w:hAnsi="Times New Roman" w:cs="Times New Roman"/>
          <w:bCs/>
          <w:lang w:eastAsia="ru-RU"/>
        </w:rPr>
        <w:t> Крайнего Севера и приравненных к ним местностях (в случае отсутствия железной дороги указанные расходы принимаются в размере минимальной стоимости проезда на воздушном транспорте), и членам его семьи в случае переезда к новому месту жительства в другую местность в связи с расторжением трудового договора с работником по любым основаниям, в том числе в случае его смерти, за исключением увольнения за виновные действия;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hyperlink r:id="rId14" w:history="1">
        <w:r w:rsidRPr="003B40EA">
          <w:rPr>
            <w:rFonts w:ascii="Times New Roman" w:eastAsia="Times New Roman" w:hAnsi="Times New Roman" w:cs="Times New Roman"/>
            <w:bCs/>
            <w:lang w:eastAsia="ru-RU"/>
          </w:rPr>
          <w:t>13)</w:t>
        </w:r>
      </w:hyperlink>
      <w:r w:rsidRPr="003B40EA">
        <w:rPr>
          <w:rFonts w:ascii="Times New Roman" w:eastAsia="Times New Roman" w:hAnsi="Times New Roman" w:cs="Times New Roman"/>
          <w:bCs/>
          <w:lang w:eastAsia="ru-RU"/>
        </w:rPr>
        <w:t> расходы в виде среднего заработка, сохраняемого в соответствии с </w:t>
      </w:r>
      <w:hyperlink r:id="rId15" w:anchor="block_1026" w:history="1">
        <w:r w:rsidRPr="003B40EA">
          <w:rPr>
            <w:rFonts w:ascii="Times New Roman" w:eastAsia="Times New Roman" w:hAnsi="Times New Roman" w:cs="Times New Roman"/>
            <w:bCs/>
            <w:lang w:eastAsia="ru-RU"/>
          </w:rPr>
          <w:t>законодательством</w:t>
        </w:r>
      </w:hyperlink>
      <w:r w:rsidRPr="003B40EA">
        <w:rPr>
          <w:rFonts w:ascii="Times New Roman" w:eastAsia="Times New Roman" w:hAnsi="Times New Roman" w:cs="Times New Roman"/>
          <w:bCs/>
          <w:lang w:eastAsia="ru-RU"/>
        </w:rPr>
        <w:t> Российской Федерации на время учебных отпусков, предоставляемых работникам налогоплательщика, а также расходы на оплату проезда к месту учебы и обратно;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lang w:eastAsia="ru-RU"/>
        </w:rPr>
        <w:t>14) расходы на оплату труда за время </w:t>
      </w:r>
      <w:hyperlink r:id="rId16" w:anchor="block_234" w:history="1">
        <w:r w:rsidRPr="003B40EA">
          <w:rPr>
            <w:rFonts w:ascii="Times New Roman" w:eastAsia="Times New Roman" w:hAnsi="Times New Roman" w:cs="Times New Roman"/>
            <w:bCs/>
            <w:lang w:eastAsia="ru-RU"/>
          </w:rPr>
          <w:t>вынужденного прогула</w:t>
        </w:r>
      </w:hyperlink>
      <w:r w:rsidRPr="003B40EA">
        <w:rPr>
          <w:rFonts w:ascii="Times New Roman" w:eastAsia="Times New Roman" w:hAnsi="Times New Roman" w:cs="Times New Roman"/>
          <w:bCs/>
          <w:lang w:eastAsia="ru-RU"/>
        </w:rPr>
        <w:t> или время выполнения нижеоплачиваемой работы в случаях, предусмотренных законодательством Российской Федерации;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lang w:eastAsia="ru-RU"/>
        </w:rPr>
        <w:t>15) </w:t>
      </w:r>
      <w:hyperlink r:id="rId17" w:anchor="block_243001" w:history="1">
        <w:r w:rsidRPr="003B40EA">
          <w:rPr>
            <w:rFonts w:ascii="Times New Roman" w:eastAsia="Times New Roman" w:hAnsi="Times New Roman" w:cs="Times New Roman"/>
            <w:bCs/>
            <w:lang w:eastAsia="ru-RU"/>
          </w:rPr>
          <w:t>утратил силу</w:t>
        </w:r>
      </w:hyperlink>
      <w:r w:rsidRPr="003B40EA">
        <w:rPr>
          <w:rFonts w:ascii="Times New Roman" w:eastAsia="Times New Roman" w:hAnsi="Times New Roman" w:cs="Times New Roman"/>
          <w:bCs/>
          <w:lang w:eastAsia="ru-RU"/>
        </w:rPr>
        <w:t> с 1 января 2010 г.;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lang w:eastAsia="ru-RU"/>
        </w:rPr>
        <w:t>16) суммы платежей (взносов) работодателей по договорам обязательного страхования, суммы взносов работодателей, уплачиваемых в соответствии с </w:t>
      </w:r>
      <w:hyperlink r:id="rId18" w:anchor="block_8" w:history="1">
        <w:r w:rsidRPr="003B40EA">
          <w:rPr>
            <w:rFonts w:ascii="Times New Roman" w:eastAsia="Times New Roman" w:hAnsi="Times New Roman" w:cs="Times New Roman"/>
            <w:bCs/>
            <w:lang w:eastAsia="ru-RU"/>
          </w:rPr>
          <w:t>Федеральным законом</w:t>
        </w:r>
      </w:hyperlink>
      <w:r w:rsidRPr="003B40EA">
        <w:rPr>
          <w:rFonts w:ascii="Times New Roman" w:eastAsia="Times New Roman" w:hAnsi="Times New Roman" w:cs="Times New Roman"/>
          <w:bCs/>
          <w:lang w:eastAsia="ru-RU"/>
        </w:rPr>
        <w:t xml:space="preserve"> "О дополнительных страховых взносах на накопительную пенсию и государственной поддержке формирования пенсионных накоплений", а также суммы платежей (взносов) работодателей по договорам добровольного </w:t>
      </w: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>страхования (договорам негосударственного пенсионного обеспечения), заключенным в пользу работников со страховыми организациями (негосударственными пенсионными фондами), имеющими лицензии, выданные в соответствии с законодательством Российской Федерации, на ведение соответствующих видов деятельности в Российской Федерации.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>В случаях добровольного страхования (негосударственного пенсионного обеспечения) указанные суммы относятся к расходам на оплату труда по договорам: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>страхования жизни, если такие договоры заключаются на срок не менее пяти лет с российскими страховыми организациями, имеющими лицензии на ведение соответствующего вида деятельности, и в течение этих пяти лет не предусматривают страховых выплат, в том числе в виде рент и (или) аннуитетов, за исключением страховых выплат в случаях смерти и (или) причинения вреда здоровью застрахованного лица;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>негосударственного пенсионного обеспечения при условии применения пенсионной схемы, предусматривающей учет пенсионных взносов на именных счетах участников негосударственных пенсионных фондов, и (или) добровольного пенсионного страхования при наступлении у участника и (или) застрахованного лица пенсионных оснований, предусмотренных законодательством Российской Федерации, дающих право на установление пенсии по государственному пенсионному обеспечению и (или) страховой пенсии, и в течение периода действия пенсионных оснований. При этом договоры негосударственного пенсионного обеспечения должны предусматривать выплату пенсий до исчерпания средств на именном счете участника, но в течение не менее пяти лет, или пожизненно, а договоры добровольного пенсионного страхования - выплату пенсий пожизненно;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>добровольного личного страхования работников, заключаемым на срок не менее одного года, предусматривающим оплату страховщиками медицинских расходов застрахованных работников;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добровольного личного страхования, предусматривающим выплаты исключительно в случаях смерти и (или) </w:t>
      </w:r>
      <w:r w:rsidRPr="003B40EA">
        <w:rPr>
          <w:rFonts w:ascii="Times New Roman" w:eastAsia="Times New Roman" w:hAnsi="Times New Roman" w:cs="Times New Roman"/>
          <w:bCs/>
          <w:lang w:eastAsia="ru-RU"/>
        </w:rPr>
        <w:t>причинения вреда здоровью застрахованного лица.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lang w:eastAsia="ru-RU"/>
        </w:rPr>
        <w:t>Совокупная сумма взносов работодателей, уплачиваемых в соответствии с </w:t>
      </w:r>
      <w:hyperlink r:id="rId19" w:anchor="block_8" w:history="1">
        <w:r w:rsidRPr="003B40EA">
          <w:rPr>
            <w:rFonts w:ascii="Times New Roman" w:eastAsia="Times New Roman" w:hAnsi="Times New Roman" w:cs="Times New Roman"/>
            <w:bCs/>
            <w:lang w:eastAsia="ru-RU"/>
          </w:rPr>
          <w:t>Федеральным законом</w:t>
        </w:r>
      </w:hyperlink>
      <w:r w:rsidRPr="003B40EA">
        <w:rPr>
          <w:rFonts w:ascii="Times New Roman" w:eastAsia="Times New Roman" w:hAnsi="Times New Roman" w:cs="Times New Roman"/>
          <w:bCs/>
          <w:lang w:eastAsia="ru-RU"/>
        </w:rPr>
        <w:t xml:space="preserve"> "О дополнительных страховых взносах на накопительную пенсию и государственной поддержке формирования пенсионных </w:t>
      </w: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накоплений", и платежей (взносов) работодателей, выплачиваемая по договорам долгосрочного страхования жизни работников, добровольного пенсионного страхования и (или) негосударственного пенсионного обеспечения работников, </w:t>
      </w: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учитывается в целях налогообложения в размере, не превышающем 12 процентов от суммы расходов на оплату труда.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>В случае внесения изменений в условия договора страхования жизни, а также договора добровольного пенсионного страхования и (или) договора негосударственного пенсионного обеспечения в отношении отдельных или всех застрахованных работников (участников), если в результате таких изменений условия договора перестают соответствовать требованиям настоящего пункта, или в случае расторжения указанных договоров в отношении отдельных или всех застрахованных работников (участников) взносы работодателя по таким договорам в отношении соответствующих работников, ранее включенные в состав расходов, признаются подлежащими налогообложению с даты внесения таких изменений в условия указанных договоров и (или) сокращения сроков действия этих договоров либо их расторжения (за исключением случаев досрочного расторжения договора в связи с обстоятельствами непреодолимой силы, то есть чрезвычайными и непредотвратимыми обстоятельствами).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Взносы по договорам добровольного личного страхования, предусматривающим оплату страховщиками медицинских расходов застрахованных работников, расходы работодателей по договорам на оказание медицинских услуг, </w:t>
      </w:r>
      <w:r w:rsidRPr="003B40EA">
        <w:rPr>
          <w:rFonts w:ascii="Times New Roman" w:eastAsia="Times New Roman" w:hAnsi="Times New Roman" w:cs="Times New Roman"/>
          <w:bCs/>
          <w:lang w:eastAsia="ru-RU"/>
        </w:rPr>
        <w:t>заключенным в пользу работников на срок не менее одного года с медицинскими организациями, имеющими соответствующие лицензии на осуществление медицинской деятельности, выданные в соответствии с законодательством Российской Федерации, и расходы, указанные в </w:t>
      </w:r>
      <w:hyperlink r:id="rId20" w:anchor="block_2582242" w:history="1">
        <w:r w:rsidRPr="003B40EA">
          <w:rPr>
            <w:rFonts w:ascii="Times New Roman" w:eastAsia="Times New Roman" w:hAnsi="Times New Roman" w:cs="Times New Roman"/>
            <w:bCs/>
            <w:lang w:eastAsia="ru-RU"/>
          </w:rPr>
          <w:t>пункте 24.2</w:t>
        </w:r>
      </w:hyperlink>
      <w:r w:rsidRPr="003B40EA">
        <w:rPr>
          <w:rFonts w:ascii="Times New Roman" w:eastAsia="Times New Roman" w:hAnsi="Times New Roman" w:cs="Times New Roman"/>
          <w:bCs/>
          <w:lang w:eastAsia="ru-RU"/>
        </w:rPr>
        <w:t> настоящей части, в совокупности не могут превышать 6 процентов от суммы расходов на оплату труда.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lang w:eastAsia="ru-RU"/>
        </w:rPr>
        <w:t>Взносы по договорам добровольного личного страхования, предусматривающим выплаты исключительно в случаях смерти и (или) причинения вреда здоровью застрахованного лица, включаются в состав расходов в размере, не превышающем 15 000 рублей в год, рассчитанном как отношение общей суммы взносов, уплачиваемых по указанным договорам, к количеству застрахованных работников.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lang w:eastAsia="ru-RU"/>
        </w:rPr>
        <w:t>При расчете предельных размеров платежей (взносов), исчисляемых в соответствии с настоящим подпунктом, в расходы на оплату труда не включаются суммы платежей (взносов), предусмотренные настоящим подпунктом;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lang w:eastAsia="ru-RU"/>
        </w:rPr>
        <w:t xml:space="preserve">17) суммы, начисленные в размере тарифной </w:t>
      </w: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>ставки или оклада (при выполнении работ вахтовым методом), предусмотренные коллективными договорами, за календарные дни нахождения в пути от места нахождения организации (пункта сбора) к месту работы и обратно, предусмотренные графиком работы на вахте, а также за дни задержки работников в пути по метеорологическим условиям;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18) суммы, начисленные за выполненную работу физическим лицам, привлеченным для работы у налогоплательщика согласно специальным договорам на предоставление рабочей силы с государственными </w:t>
      </w:r>
      <w:r w:rsidRPr="003B40EA">
        <w:rPr>
          <w:rFonts w:ascii="Times New Roman" w:eastAsia="Times New Roman" w:hAnsi="Times New Roman" w:cs="Times New Roman"/>
          <w:bCs/>
          <w:lang w:eastAsia="ru-RU"/>
        </w:rPr>
        <w:t>организациями;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lang w:eastAsia="ru-RU"/>
        </w:rPr>
        <w:t>19) в случаях, предусмотренных законодательством Российской Федерации, начисления по основному месту работы рабочим, руководителям или специалистам налогоплательщика во время их обучения с отрывом от работы в системе повышения квалификации или переподготовки кадров;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hyperlink r:id="rId21" w:history="1">
        <w:r w:rsidRPr="003B40EA">
          <w:rPr>
            <w:rFonts w:ascii="Times New Roman" w:eastAsia="Times New Roman" w:hAnsi="Times New Roman" w:cs="Times New Roman"/>
            <w:bCs/>
            <w:lang w:eastAsia="ru-RU"/>
          </w:rPr>
          <w:t>20)</w:t>
        </w:r>
      </w:hyperlink>
      <w:r w:rsidRPr="003B40EA">
        <w:rPr>
          <w:rFonts w:ascii="Times New Roman" w:eastAsia="Times New Roman" w:hAnsi="Times New Roman" w:cs="Times New Roman"/>
          <w:bCs/>
          <w:lang w:eastAsia="ru-RU"/>
        </w:rPr>
        <w:t> расходы на оплату труда работников-доноров за дни обследования, сдачи крови и отдыха, предоставляемые после каждого дня сдачи крови;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hyperlink r:id="rId22" w:history="1">
        <w:r w:rsidRPr="003B40EA">
          <w:rPr>
            <w:rFonts w:ascii="Times New Roman" w:eastAsia="Times New Roman" w:hAnsi="Times New Roman" w:cs="Times New Roman"/>
            <w:bCs/>
            <w:lang w:eastAsia="ru-RU"/>
          </w:rPr>
          <w:t>21)</w:t>
        </w:r>
      </w:hyperlink>
      <w:r w:rsidRPr="003B40EA">
        <w:rPr>
          <w:rFonts w:ascii="Times New Roman" w:eastAsia="Times New Roman" w:hAnsi="Times New Roman" w:cs="Times New Roman"/>
          <w:bCs/>
          <w:lang w:eastAsia="ru-RU"/>
        </w:rPr>
        <w:t> расходы на оплату труда работников, не состоящих в штате организации-налогоплательщика, за выполнение ими работ по заключенным договорам гражданско-правового характера (включая договоры подряда), за исключением оплаты труда по договорам гражданско-правового характера, заключенным с индивидуальными предпринимателями;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hyperlink r:id="rId23" w:history="1">
        <w:r w:rsidRPr="003B40EA">
          <w:rPr>
            <w:rFonts w:ascii="Times New Roman" w:eastAsia="Times New Roman" w:hAnsi="Times New Roman" w:cs="Times New Roman"/>
            <w:bCs/>
            <w:lang w:eastAsia="ru-RU"/>
          </w:rPr>
          <w:t>22)</w:t>
        </w:r>
      </w:hyperlink>
      <w:r w:rsidRPr="003B40EA">
        <w:rPr>
          <w:rFonts w:ascii="Times New Roman" w:eastAsia="Times New Roman" w:hAnsi="Times New Roman" w:cs="Times New Roman"/>
          <w:bCs/>
          <w:lang w:eastAsia="ru-RU"/>
        </w:rPr>
        <w:t xml:space="preserve"> предусмотренные законодательством Российской Федерации начисления военнослужащим, проходящим военную службу на государственных унитарных предприятиях и в строительных организациях федеральных органов исполнительной власти, в которых законодательством Российской </w:t>
      </w: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Федерации предусмотрена военная служба, и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лицам, проходящим службу в войсках национальной гвардии Российской Федерации и имеющим специальные звания полиции;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23) </w:t>
      </w:r>
      <w:r w:rsidRPr="003B40EA">
        <w:rPr>
          <w:rFonts w:ascii="Times New Roman" w:eastAsia="Times New Roman" w:hAnsi="Times New Roman" w:cs="Times New Roman"/>
          <w:bCs/>
          <w:lang w:eastAsia="ru-RU"/>
        </w:rPr>
        <w:t>доплаты инвалидам, предусмотренные законодательством Российской Федерации;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hyperlink r:id="rId24" w:history="1">
        <w:r w:rsidRPr="003B40EA">
          <w:rPr>
            <w:rFonts w:ascii="Times New Roman" w:eastAsia="Times New Roman" w:hAnsi="Times New Roman" w:cs="Times New Roman"/>
            <w:bCs/>
            <w:lang w:eastAsia="ru-RU"/>
          </w:rPr>
          <w:t>24)</w:t>
        </w:r>
      </w:hyperlink>
      <w:r w:rsidRPr="003B40EA">
        <w:rPr>
          <w:rFonts w:ascii="Times New Roman" w:eastAsia="Times New Roman" w:hAnsi="Times New Roman" w:cs="Times New Roman"/>
          <w:bCs/>
          <w:lang w:eastAsia="ru-RU"/>
        </w:rPr>
        <w:t> расходы в виде отчислений в резерв на предстоящую оплату отпусков работникам и (или) в резерв на выплату ежегодного вознаграждения за выслугу лет и по итогам работы за год, осуществляемые в соответствии со </w:t>
      </w:r>
      <w:hyperlink r:id="rId25" w:anchor="block_3241" w:history="1">
        <w:r w:rsidRPr="003B40EA">
          <w:rPr>
            <w:rFonts w:ascii="Times New Roman" w:eastAsia="Times New Roman" w:hAnsi="Times New Roman" w:cs="Times New Roman"/>
            <w:bCs/>
            <w:lang w:eastAsia="ru-RU"/>
          </w:rPr>
          <w:t>статьей 324.1</w:t>
        </w:r>
      </w:hyperlink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> настоящего Кодекса;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24.1) расходы на возмещение затрат работников по уплате процентов по займам (кредитам) на приобретение и (или) строительство жилого помещения. Указанные расходы для целей налогообложения признаются в размере, не превышающем 3 процентов суммы расходов на оплату труда;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>24.2) расходы на оплату услуг по организации туризма, санаторно-курортного лечения и отдыха на территории Российской Федерации в соответствии с договором о реализации туристского продукта, оказанных работникам, их супругам, родителям, детям (в том числе усыновленным) в возрасте до 18 лет, подопечным в возрасте до 18 лет, а также детям (в том числе усыновленным) в возрасте до 24 лет, обучающимся по очной форме обучения в образовательных организациях, бывшим подопечным (после прекращения опеки или попечительства) в возрасте до 24 лет, обучающимся по очной форме обучения в образовательных организациях.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целях настоящего пункта услугами по организации туризма, санаторно-курортного лечения и отдыха на территории Российской Федерации признаются следующие услуги, оказанные по договору о реализации туристского продукта, заключенному работодателем с туроператором или </w:t>
      </w:r>
      <w:proofErr w:type="spellStart"/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>турагентом</w:t>
      </w:r>
      <w:proofErr w:type="spellEnd"/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 по перевозке туриста по территории Российской Федерации воздушным, водным, автомобильным и (или) железнодорожным транспортом до пункта назначения и обратно либо по иному согласованному в договоре о реализации туристского продукта маршруту;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 проживания туриста в гостинице (гостиницах) или ином (иных) средстве (средствах) размещения, объекте санаторно-курортного лечения и отдыха, расположенных на территории Российской Федерации, включая услуги питания туриста, если услуги питания предоставляются в комплексе с услугами проживания в гостинице или ином средстве размещения, объекте санаторно-курортного лечения и отдыха;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 по санаторно-курортному обслуживанию;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>экскурсионные услуги.</w:t>
      </w:r>
    </w:p>
    <w:p w:rsidR="003B40EA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Указанные в настоящем пункте расходы учитываются в размере фактически произведенных расходов на услуги по организации </w:t>
      </w:r>
      <w:bookmarkStart w:id="0" w:name="_GoBack"/>
      <w:r w:rsidRPr="003B40EA">
        <w:rPr>
          <w:rFonts w:ascii="Times New Roman" w:eastAsia="Times New Roman" w:hAnsi="Times New Roman" w:cs="Times New Roman"/>
          <w:bCs/>
          <w:lang w:eastAsia="ru-RU"/>
        </w:rPr>
        <w:t>туризма, санаторно-курортного лечения и отдыха на территории Российской Федерации, но не более 50 000 рублей в совокупности за налоговый период на каждого из граждан, перечисленных в </w:t>
      </w:r>
      <w:hyperlink r:id="rId26" w:anchor="block_2582242" w:history="1">
        <w:r w:rsidRPr="003B40EA">
          <w:rPr>
            <w:rFonts w:ascii="Times New Roman" w:eastAsia="Times New Roman" w:hAnsi="Times New Roman" w:cs="Times New Roman"/>
            <w:bCs/>
            <w:lang w:eastAsia="ru-RU"/>
          </w:rPr>
          <w:t>абзаце первом</w:t>
        </w:r>
      </w:hyperlink>
      <w:r w:rsidRPr="003B40EA">
        <w:rPr>
          <w:rFonts w:ascii="Times New Roman" w:eastAsia="Times New Roman" w:hAnsi="Times New Roman" w:cs="Times New Roman"/>
          <w:bCs/>
          <w:lang w:eastAsia="ru-RU"/>
        </w:rPr>
        <w:t> настоящего пункта, и при условии выполнения требования, установленного </w:t>
      </w:r>
      <w:hyperlink r:id="rId27" w:anchor="block_2551609" w:history="1">
        <w:r w:rsidRPr="003B40EA">
          <w:rPr>
            <w:rFonts w:ascii="Times New Roman" w:eastAsia="Times New Roman" w:hAnsi="Times New Roman" w:cs="Times New Roman"/>
            <w:bCs/>
            <w:lang w:eastAsia="ru-RU"/>
          </w:rPr>
          <w:t>абзацем девятым пункта 16</w:t>
        </w:r>
      </w:hyperlink>
      <w:r w:rsidRPr="003B40EA">
        <w:rPr>
          <w:rFonts w:ascii="Times New Roman" w:eastAsia="Times New Roman" w:hAnsi="Times New Roman" w:cs="Times New Roman"/>
          <w:bCs/>
          <w:lang w:eastAsia="ru-RU"/>
        </w:rPr>
        <w:t> настоящей части;</w:t>
      </w:r>
    </w:p>
    <w:p w:rsidR="00C900B8" w:rsidRPr="003B40EA" w:rsidRDefault="003B40EA" w:rsidP="003B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B40EA">
        <w:rPr>
          <w:rFonts w:ascii="Times New Roman" w:eastAsia="Times New Roman" w:hAnsi="Times New Roman" w:cs="Times New Roman"/>
          <w:bCs/>
          <w:lang w:eastAsia="ru-RU"/>
        </w:rPr>
        <w:t>25) другие виды расходов, произведенных в пользу работника, предусмотренных трудовым договором и (или) коллективным договором.</w:t>
      </w:r>
      <w:bookmarkEnd w:id="0"/>
    </w:p>
    <w:sectPr w:rsidR="00C900B8" w:rsidRPr="003B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E8"/>
    <w:rsid w:val="003831E8"/>
    <w:rsid w:val="003B40EA"/>
    <w:rsid w:val="00C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9AE6"/>
  <w15:chartTrackingRefBased/>
  <w15:docId w15:val="{E59ABA7F-3CF9-4F51-ADE3-A9BBB1DB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B4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40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3B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B40EA"/>
  </w:style>
  <w:style w:type="paragraph" w:customStyle="1" w:styleId="s9">
    <w:name w:val="s_9"/>
    <w:basedOn w:val="a"/>
    <w:rsid w:val="003B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40EA"/>
    <w:rPr>
      <w:color w:val="0000FF"/>
      <w:u w:val="single"/>
    </w:rPr>
  </w:style>
  <w:style w:type="paragraph" w:customStyle="1" w:styleId="s1">
    <w:name w:val="s_1"/>
    <w:basedOn w:val="a"/>
    <w:rsid w:val="003B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B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B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8c635a6adbf5951fcb0f9e5ed6429908/" TargetMode="External"/><Relationship Id="rId13" Type="http://schemas.openxmlformats.org/officeDocument/2006/relationships/hyperlink" Target="http://base.garant.ru/182088/5e110786b4bc757dccdb873abba2ac3f/" TargetMode="External"/><Relationship Id="rId18" Type="http://schemas.openxmlformats.org/officeDocument/2006/relationships/hyperlink" Target="http://base.garant.ru/12160189/31de5683116b8d79b08fa2d768e33df6/" TargetMode="External"/><Relationship Id="rId26" Type="http://schemas.openxmlformats.org/officeDocument/2006/relationships/hyperlink" Target="http://base.garant.ru/10900200/b725e7ebe1a9edefbd2b44742d2c3e8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80795/" TargetMode="External"/><Relationship Id="rId7" Type="http://schemas.openxmlformats.org/officeDocument/2006/relationships/hyperlink" Target="http://base.garant.ru/12125268/2eb15671b4640f8a449b9fea2b7d89e0/" TargetMode="External"/><Relationship Id="rId12" Type="http://schemas.openxmlformats.org/officeDocument/2006/relationships/hyperlink" Target="http://base.garant.ru/12173204/" TargetMode="External"/><Relationship Id="rId17" Type="http://schemas.openxmlformats.org/officeDocument/2006/relationships/hyperlink" Target="http://base.garant.ru/12168560/7b14d2c2dfc862f67bd2c3471bf87b3f/" TargetMode="External"/><Relationship Id="rId25" Type="http://schemas.openxmlformats.org/officeDocument/2006/relationships/hyperlink" Target="http://base.garant.ru/10900200/2e0af6108be48e0dd14620525a20496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25268/1b96e31cafd99b240f05141e974122b5/" TargetMode="External"/><Relationship Id="rId20" Type="http://schemas.openxmlformats.org/officeDocument/2006/relationships/hyperlink" Target="http://base.garant.ru/10900200/b725e7ebe1a9edefbd2b44742d2c3e89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8/c11465d9cdd9cd41f225c2e996875142/" TargetMode="External"/><Relationship Id="rId11" Type="http://schemas.openxmlformats.org/officeDocument/2006/relationships/hyperlink" Target="http://base.garant.ru/12182788/" TargetMode="External"/><Relationship Id="rId24" Type="http://schemas.openxmlformats.org/officeDocument/2006/relationships/hyperlink" Target="http://base.garant.ru/12186831/" TargetMode="External"/><Relationship Id="rId5" Type="http://schemas.openxmlformats.org/officeDocument/2006/relationships/hyperlink" Target="http://base.garant.ru/12177444/" TargetMode="External"/><Relationship Id="rId15" Type="http://schemas.openxmlformats.org/officeDocument/2006/relationships/hyperlink" Target="http://base.garant.ru/12125268/bd6ee6809e32a63f1324b3b040115290/" TargetMode="External"/><Relationship Id="rId23" Type="http://schemas.openxmlformats.org/officeDocument/2006/relationships/hyperlink" Target="http://base.garant.ru/70141814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ase.garant.ru/12125268/531f31fc05e8518095d555dedbf7915c/" TargetMode="External"/><Relationship Id="rId19" Type="http://schemas.openxmlformats.org/officeDocument/2006/relationships/hyperlink" Target="http://base.garant.ru/12160189/31de5683116b8d79b08fa2d768e33df6/" TargetMode="External"/><Relationship Id="rId4" Type="http://schemas.openxmlformats.org/officeDocument/2006/relationships/hyperlink" Target="http://base.garant.ru/12187738/" TargetMode="External"/><Relationship Id="rId9" Type="http://schemas.openxmlformats.org/officeDocument/2006/relationships/hyperlink" Target="http://base.garant.ru/12178285/" TargetMode="External"/><Relationship Id="rId14" Type="http://schemas.openxmlformats.org/officeDocument/2006/relationships/hyperlink" Target="http://base.garant.ru/12177835/" TargetMode="External"/><Relationship Id="rId22" Type="http://schemas.openxmlformats.org/officeDocument/2006/relationships/hyperlink" Target="http://base.garant.ru/12181968/" TargetMode="External"/><Relationship Id="rId27" Type="http://schemas.openxmlformats.org/officeDocument/2006/relationships/hyperlink" Target="http://base.garant.ru/10900200/b725e7ebe1a9edefbd2b44742d2c3e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2219</Words>
  <Characters>15049</Characters>
  <Application>Microsoft Office Word</Application>
  <DocSecurity>0</DocSecurity>
  <Lines>367</Lines>
  <Paragraphs>213</Paragraphs>
  <ScaleCrop>false</ScaleCrop>
  <Company/>
  <LinksUpToDate>false</LinksUpToDate>
  <CharactersWithSpaces>17055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Клезович</dc:creator>
  <cp:keywords/>
  <dc:description/>
  <cp:lastModifiedBy>Ирина Клезович</cp:lastModifiedBy>
  <cp:revision>2</cp:revision>
  <dcterms:created xsi:type="dcterms:W3CDTF">2020-09-15T10:38:00Z</dcterms:created>
  <dcterms:modified xsi:type="dcterms:W3CDTF">2020-09-15T10:44:00Z</dcterms:modified>
</cp:coreProperties>
</file>